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39B" w:rsidRPr="0079642D" w:rsidRDefault="0099139B" w:rsidP="0099139B">
      <w:pPr>
        <w:spacing w:line="480" w:lineRule="exact"/>
        <w:rPr>
          <w:rFonts w:ascii="黑体" w:eastAsia="黑体" w:hAnsi="宋体"/>
          <w:color w:val="000000"/>
          <w:kern w:val="0"/>
          <w:sz w:val="32"/>
          <w:szCs w:val="32"/>
        </w:rPr>
      </w:pPr>
    </w:p>
    <w:p w:rsidR="0099139B" w:rsidRPr="00967673" w:rsidRDefault="0099139B" w:rsidP="0099139B">
      <w:pPr>
        <w:spacing w:line="480" w:lineRule="exact"/>
        <w:rPr>
          <w:rFonts w:ascii="黑体" w:eastAsia="黑体" w:hAnsi="宋体"/>
          <w:color w:val="000000"/>
          <w:kern w:val="0"/>
          <w:sz w:val="30"/>
          <w:szCs w:val="30"/>
        </w:rPr>
      </w:pPr>
    </w:p>
    <w:p w:rsidR="0099139B" w:rsidRPr="005B60ED" w:rsidRDefault="0099139B" w:rsidP="0099139B">
      <w:pPr>
        <w:spacing w:line="760" w:lineRule="exact"/>
        <w:rPr>
          <w:rFonts w:ascii="黑体" w:eastAsia="黑体" w:hAnsi="宋体"/>
          <w:color w:val="FF0000"/>
          <w:kern w:val="0"/>
          <w:sz w:val="30"/>
          <w:szCs w:val="30"/>
        </w:rPr>
      </w:pPr>
    </w:p>
    <w:p w:rsidR="0099139B" w:rsidRPr="003A1073" w:rsidRDefault="0099139B" w:rsidP="0099139B">
      <w:pPr>
        <w:jc w:val="center"/>
        <w:rPr>
          <w:rFonts w:ascii="方正小标宋简体" w:eastAsia="方正小标宋简体" w:hAnsi="宋体"/>
          <w:color w:val="FF0000"/>
          <w:spacing w:val="266"/>
          <w:w w:val="72"/>
          <w:kern w:val="0"/>
          <w:sz w:val="72"/>
          <w:szCs w:val="72"/>
        </w:rPr>
      </w:pPr>
      <w:r w:rsidRPr="0099139B">
        <w:rPr>
          <w:rFonts w:ascii="方正小标宋简体" w:eastAsia="方正小标宋简体" w:hAnsi="宋体" w:hint="eastAsia"/>
          <w:color w:val="FF0000"/>
          <w:spacing w:val="175"/>
          <w:w w:val="72"/>
          <w:kern w:val="0"/>
          <w:sz w:val="72"/>
          <w:szCs w:val="72"/>
          <w:fitText w:val="8320" w:id="367767552"/>
        </w:rPr>
        <w:t>上海市教育委员会文</w:t>
      </w:r>
      <w:r w:rsidRPr="0099139B">
        <w:rPr>
          <w:rFonts w:ascii="方正小标宋简体" w:eastAsia="方正小标宋简体" w:hAnsi="宋体" w:hint="eastAsia"/>
          <w:color w:val="FF0000"/>
          <w:w w:val="72"/>
          <w:kern w:val="0"/>
          <w:sz w:val="72"/>
          <w:szCs w:val="72"/>
          <w:fitText w:val="8320" w:id="367767552"/>
        </w:rPr>
        <w:t>件</w:t>
      </w:r>
    </w:p>
    <w:p w:rsidR="0099139B" w:rsidRPr="00D27C01" w:rsidRDefault="0099139B" w:rsidP="0099139B">
      <w:pPr>
        <w:spacing w:line="420" w:lineRule="exact"/>
        <w:rPr>
          <w:rFonts w:ascii="黑体" w:eastAsia="黑体" w:hAnsi="华文中宋"/>
          <w:sz w:val="30"/>
          <w:szCs w:val="30"/>
        </w:rPr>
      </w:pPr>
    </w:p>
    <w:p w:rsidR="0099139B" w:rsidRDefault="0099139B" w:rsidP="0099139B">
      <w:pPr>
        <w:spacing w:line="420" w:lineRule="exact"/>
        <w:rPr>
          <w:rFonts w:ascii="文鼎大标宋简" w:eastAsia="文鼎大标宋简" w:hAnsi="华文中宋"/>
          <w:sz w:val="36"/>
          <w:szCs w:val="36"/>
        </w:rPr>
      </w:pPr>
    </w:p>
    <w:tbl>
      <w:tblPr>
        <w:tblW w:w="5000" w:type="pct"/>
        <w:tblBorders>
          <w:bottom w:val="single" w:sz="12" w:space="0" w:color="FF0000"/>
        </w:tblBorders>
        <w:tblLook w:val="0000"/>
      </w:tblPr>
      <w:tblGrid>
        <w:gridCol w:w="8522"/>
      </w:tblGrid>
      <w:tr w:rsidR="0099139B" w:rsidRPr="00FE259A" w:rsidTr="00CF78C3">
        <w:trPr>
          <w:trHeight w:val="615"/>
        </w:trPr>
        <w:tc>
          <w:tcPr>
            <w:tcW w:w="5000" w:type="pct"/>
          </w:tcPr>
          <w:p w:rsidR="0099139B" w:rsidRPr="00FE259A" w:rsidRDefault="0099139B" w:rsidP="00CF78C3">
            <w:pPr>
              <w:spacing w:line="620" w:lineRule="exact"/>
              <w:ind w:left="675" w:right="541"/>
              <w:jc w:val="center"/>
              <w:rPr>
                <w:rFonts w:ascii="仿宋_GB2312" w:eastAsia="仿宋_GB2312"/>
                <w:sz w:val="30"/>
                <w:szCs w:val="30"/>
              </w:rPr>
            </w:pPr>
            <w:r w:rsidRPr="00FE259A">
              <w:rPr>
                <w:rFonts w:ascii="仿宋_GB2312" w:eastAsia="仿宋_GB2312" w:hint="eastAsia"/>
                <w:sz w:val="30"/>
                <w:szCs w:val="30"/>
              </w:rPr>
              <w:t>沪教委</w:t>
            </w:r>
            <w:r>
              <w:rPr>
                <w:rFonts w:ascii="仿宋_GB2312" w:eastAsia="仿宋_GB2312" w:hint="eastAsia"/>
                <w:sz w:val="30"/>
                <w:szCs w:val="30"/>
              </w:rPr>
              <w:t>高</w:t>
            </w:r>
            <w:r w:rsidRPr="00FE259A">
              <w:rPr>
                <w:rFonts w:ascii="仿宋_GB2312" w:eastAsia="仿宋_GB2312"/>
                <w:sz w:val="30"/>
                <w:szCs w:val="30"/>
              </w:rPr>
              <w:t>〔</w:t>
            </w:r>
            <w:r w:rsidRPr="00FE259A">
              <w:rPr>
                <w:rFonts w:ascii="仿宋_GB2312" w:eastAsia="仿宋_GB2312" w:hint="eastAsia"/>
                <w:sz w:val="30"/>
                <w:szCs w:val="30"/>
              </w:rPr>
              <w:t>201</w:t>
            </w:r>
            <w:r>
              <w:rPr>
                <w:rFonts w:ascii="仿宋_GB2312" w:eastAsia="仿宋_GB2312" w:hint="eastAsia"/>
                <w:sz w:val="30"/>
                <w:szCs w:val="30"/>
              </w:rPr>
              <w:t>3</w:t>
            </w:r>
            <w:r w:rsidRPr="00FE259A">
              <w:rPr>
                <w:rFonts w:ascii="仿宋_GB2312" w:eastAsia="仿宋_GB2312"/>
                <w:sz w:val="30"/>
                <w:szCs w:val="30"/>
              </w:rPr>
              <w:t>〕</w:t>
            </w:r>
            <w:r>
              <w:rPr>
                <w:rFonts w:ascii="仿宋_GB2312" w:eastAsia="仿宋_GB2312" w:hint="eastAsia"/>
                <w:sz w:val="30"/>
                <w:szCs w:val="30"/>
              </w:rPr>
              <w:t>27</w:t>
            </w:r>
            <w:r w:rsidRPr="00FE259A">
              <w:rPr>
                <w:rFonts w:ascii="仿宋_GB2312" w:eastAsia="仿宋_GB2312" w:hint="eastAsia"/>
                <w:sz w:val="30"/>
                <w:szCs w:val="30"/>
              </w:rPr>
              <w:t>号</w:t>
            </w:r>
          </w:p>
        </w:tc>
      </w:tr>
    </w:tbl>
    <w:p w:rsidR="0099139B" w:rsidRDefault="0099139B" w:rsidP="0099139B">
      <w:pPr>
        <w:spacing w:line="620" w:lineRule="exact"/>
        <w:rPr>
          <w:rFonts w:ascii="仿宋_GB2312" w:eastAsia="仿宋_GB2312"/>
          <w:sz w:val="32"/>
        </w:rPr>
      </w:pPr>
    </w:p>
    <w:p w:rsidR="0099139B" w:rsidRDefault="0099139B" w:rsidP="0099139B">
      <w:pPr>
        <w:spacing w:line="620" w:lineRule="exact"/>
        <w:rPr>
          <w:rFonts w:ascii="仿宋_GB2312" w:eastAsia="仿宋_GB2312"/>
          <w:sz w:val="32"/>
        </w:rPr>
      </w:pPr>
    </w:p>
    <w:p w:rsidR="0099139B" w:rsidRPr="00A5423B" w:rsidRDefault="0099139B" w:rsidP="0099139B">
      <w:pPr>
        <w:spacing w:line="620" w:lineRule="exact"/>
        <w:jc w:val="center"/>
        <w:rPr>
          <w:rFonts w:ascii="方正小标宋简体" w:eastAsia="方正小标宋简体"/>
          <w:sz w:val="38"/>
          <w:szCs w:val="38"/>
        </w:rPr>
      </w:pPr>
      <w:r w:rsidRPr="004806AD">
        <w:rPr>
          <w:rFonts w:ascii="方正小标宋简体" w:eastAsia="方正小标宋简体" w:hint="eastAsia"/>
          <w:sz w:val="38"/>
          <w:szCs w:val="38"/>
        </w:rPr>
        <w:t>上海市教育委员会关于</w:t>
      </w:r>
      <w:r w:rsidRPr="00A5423B">
        <w:rPr>
          <w:rFonts w:ascii="方正小标宋简体" w:eastAsia="方正小标宋简体" w:hint="eastAsia"/>
          <w:sz w:val="38"/>
          <w:szCs w:val="38"/>
        </w:rPr>
        <w:t>做好2013年度</w:t>
      </w:r>
    </w:p>
    <w:p w:rsidR="0099139B" w:rsidRPr="004806AD" w:rsidRDefault="0099139B" w:rsidP="0099139B">
      <w:pPr>
        <w:spacing w:line="620" w:lineRule="exact"/>
        <w:jc w:val="center"/>
        <w:rPr>
          <w:rFonts w:ascii="方正小标宋简体" w:eastAsia="方正小标宋简体"/>
          <w:sz w:val="38"/>
          <w:szCs w:val="38"/>
        </w:rPr>
      </w:pPr>
      <w:r w:rsidRPr="00A5423B">
        <w:rPr>
          <w:rFonts w:ascii="方正小标宋简体" w:eastAsia="方正小标宋简体" w:hint="eastAsia"/>
          <w:sz w:val="38"/>
          <w:szCs w:val="38"/>
        </w:rPr>
        <w:t>市教委本科重点课程立项工作的通知</w:t>
      </w:r>
    </w:p>
    <w:p w:rsidR="0099139B" w:rsidRDefault="0099139B" w:rsidP="0099139B">
      <w:pPr>
        <w:spacing w:line="620" w:lineRule="exact"/>
        <w:rPr>
          <w:rFonts w:ascii="仿宋_GB2312" w:eastAsia="仿宋_GB2312"/>
          <w:sz w:val="32"/>
        </w:rPr>
      </w:pPr>
    </w:p>
    <w:p w:rsidR="0099139B" w:rsidRPr="00A5423B" w:rsidRDefault="0099139B" w:rsidP="0099139B">
      <w:pPr>
        <w:adjustRightInd w:val="0"/>
        <w:snapToGrid w:val="0"/>
        <w:spacing w:line="620" w:lineRule="exact"/>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各本科高等学校：</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为进一步深化教育教学改革，优化高校课程设置，提升教学水平，提高教学质量，根据《上海市属普通高等学校市教委重点课程建设管理办法》（以下简称《管理办法》，详见沪教委高〔2005〕34号）的要求，现就2013年度市教委本科重点课程立项工作的相关事宜通知如下：</w:t>
      </w:r>
    </w:p>
    <w:p w:rsidR="0099139B" w:rsidRPr="00A5423B" w:rsidRDefault="0099139B" w:rsidP="0099139B">
      <w:pPr>
        <w:adjustRightInd w:val="0"/>
        <w:snapToGrid w:val="0"/>
        <w:spacing w:line="620" w:lineRule="exact"/>
        <w:ind w:firstLineChars="200" w:firstLine="600"/>
        <w:jc w:val="left"/>
        <w:rPr>
          <w:rFonts w:ascii="黑体" w:eastAsia="黑体" w:hAnsi="宋体" w:cs="宋体"/>
          <w:color w:val="000000"/>
          <w:kern w:val="0"/>
          <w:sz w:val="30"/>
          <w:szCs w:val="30"/>
        </w:rPr>
      </w:pPr>
      <w:r w:rsidRPr="00A5423B">
        <w:rPr>
          <w:rFonts w:ascii="黑体" w:eastAsia="黑体" w:hAnsi="宋体" w:cs="宋体" w:hint="eastAsia"/>
          <w:color w:val="000000"/>
          <w:kern w:val="0"/>
          <w:sz w:val="30"/>
          <w:szCs w:val="30"/>
        </w:rPr>
        <w:t>一、申报条件</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1.申报课程须为高校开设的本科课程，且已被列入校级重点课程建设项目，并符合《管理办法》的有关规定。国家级和市级</w:t>
      </w:r>
      <w:r w:rsidRPr="00A5423B">
        <w:rPr>
          <w:rFonts w:ascii="仿宋_GB2312" w:eastAsia="仿宋_GB2312" w:hAnsi="宋体" w:cs="宋体" w:hint="eastAsia"/>
          <w:color w:val="000000"/>
          <w:kern w:val="0"/>
          <w:sz w:val="30"/>
          <w:szCs w:val="30"/>
        </w:rPr>
        <w:lastRenderedPageBreak/>
        <w:t>精品课程原则上不再列入本次申报范围。</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2.申报课程应具备一定的建设基础，且在学校人才培养方案中具有重要地位。鼓励由高水平教授参与建设、教学内容前沿、教学方法灵活创新、学生学习体验和评教好的课程参与申报。</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3.本次立项重点支持通识教育课程、新生研讨课程、大学英语（通用学术英语）系列课程和专业核心课程等。</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4.申报课程要注重改变教学目的，创新教学方法。在教学内容的安排上注重培养学生发现问题、分析问题和解决问题的能力，培养学生自主学习知识的能力。在教学方法上加强课堂（小组）讨论，教学课时中应安排一定比例的讨论课。</w:t>
      </w:r>
    </w:p>
    <w:p w:rsidR="0099139B" w:rsidRPr="00A5423B" w:rsidRDefault="0099139B" w:rsidP="0099139B">
      <w:pPr>
        <w:adjustRightInd w:val="0"/>
        <w:snapToGrid w:val="0"/>
        <w:spacing w:line="620" w:lineRule="exact"/>
        <w:ind w:firstLineChars="200" w:firstLine="600"/>
        <w:jc w:val="left"/>
        <w:rPr>
          <w:rFonts w:ascii="黑体" w:eastAsia="黑体" w:hAnsi="宋体" w:cs="宋体"/>
          <w:color w:val="000000"/>
          <w:kern w:val="0"/>
          <w:sz w:val="30"/>
          <w:szCs w:val="30"/>
        </w:rPr>
      </w:pPr>
      <w:r w:rsidRPr="00A5423B">
        <w:rPr>
          <w:rFonts w:ascii="黑体" w:eastAsia="黑体" w:hAnsi="宋体" w:cs="宋体" w:hint="eastAsia"/>
          <w:color w:val="000000"/>
          <w:kern w:val="0"/>
          <w:sz w:val="30"/>
          <w:szCs w:val="30"/>
        </w:rPr>
        <w:t>二、评选办法</w:t>
      </w:r>
    </w:p>
    <w:p w:rsidR="0099139B" w:rsidRPr="00A5423B" w:rsidRDefault="0099139B" w:rsidP="0099139B">
      <w:pPr>
        <w:adjustRightInd w:val="0"/>
        <w:snapToGrid w:val="0"/>
        <w:spacing w:line="620" w:lineRule="exact"/>
        <w:ind w:firstLineChars="200" w:firstLine="600"/>
        <w:jc w:val="left"/>
        <w:rPr>
          <w:rFonts w:ascii="仿宋_GB2312" w:eastAsia="仿宋_GB2312" w:hAnsi="宋体" w:cs="宋体"/>
          <w:color w:val="000000"/>
          <w:kern w:val="0"/>
          <w:sz w:val="30"/>
          <w:szCs w:val="30"/>
        </w:rPr>
      </w:pPr>
      <w:r w:rsidRPr="00A5423B">
        <w:rPr>
          <w:rFonts w:ascii="仿宋_GB2312" w:eastAsia="仿宋_GB2312" w:hAnsi="宋体" w:cs="宋体" w:hint="eastAsia"/>
          <w:color w:val="000000"/>
          <w:kern w:val="0"/>
          <w:sz w:val="30"/>
          <w:szCs w:val="30"/>
        </w:rPr>
        <w:t>1.本年度我委计划立项建设200门左右重点课程。其中，“985”高校每校申报额度不超过15门，其他高校每校申报额度不超过8门。</w:t>
      </w:r>
    </w:p>
    <w:p w:rsidR="0099139B" w:rsidRPr="00A5423B" w:rsidRDefault="0099139B" w:rsidP="0099139B">
      <w:pPr>
        <w:pStyle w:val="a5"/>
        <w:spacing w:before="0" w:beforeAutospacing="0" w:after="0" w:afterAutospacing="0" w:line="620" w:lineRule="exact"/>
        <w:ind w:firstLineChars="200" w:firstLine="600"/>
        <w:rPr>
          <w:rFonts w:ascii="仿宋_GB2312" w:eastAsia="仿宋_GB2312" w:cs="Times New Roman"/>
          <w:kern w:val="2"/>
          <w:sz w:val="30"/>
          <w:szCs w:val="30"/>
        </w:rPr>
      </w:pPr>
      <w:r w:rsidRPr="00A5423B">
        <w:rPr>
          <w:rFonts w:ascii="仿宋_GB2312" w:eastAsia="仿宋_GB2312" w:cs="Times New Roman" w:hint="eastAsia"/>
          <w:kern w:val="2"/>
          <w:sz w:val="30"/>
          <w:szCs w:val="30"/>
        </w:rPr>
        <w:t>2.各高校应根据本校课程建设规划和建设基础，在评选校级重点课程的基础上择优排序推荐。推荐申报的课程应在学校网站上公示。</w:t>
      </w:r>
    </w:p>
    <w:p w:rsidR="0099139B" w:rsidRPr="00A5423B" w:rsidRDefault="0099139B" w:rsidP="0099139B">
      <w:pPr>
        <w:pStyle w:val="a5"/>
        <w:spacing w:before="0" w:beforeAutospacing="0" w:after="0" w:afterAutospacing="0" w:line="620" w:lineRule="exact"/>
        <w:ind w:firstLineChars="200" w:firstLine="600"/>
        <w:rPr>
          <w:rFonts w:ascii="仿宋_GB2312" w:eastAsia="仿宋_GB2312" w:cs="Times New Roman"/>
          <w:kern w:val="2"/>
          <w:sz w:val="30"/>
          <w:szCs w:val="30"/>
        </w:rPr>
      </w:pPr>
      <w:r w:rsidRPr="00A5423B">
        <w:rPr>
          <w:rFonts w:ascii="仿宋_GB2312" w:eastAsia="仿宋_GB2312" w:cs="Times New Roman" w:hint="eastAsia"/>
          <w:kern w:val="2"/>
          <w:sz w:val="30"/>
          <w:szCs w:val="30"/>
        </w:rPr>
        <w:t>3.市教委将按照《管理办法》的有关规定，组织专家评审，择优公布立项课程名单。重点考评课程的教学理念、教学内容与方法、师资队伍、教学资源和教学效果等方面。</w:t>
      </w:r>
    </w:p>
    <w:p w:rsidR="0099139B" w:rsidRPr="00A5423B" w:rsidRDefault="0099139B" w:rsidP="0099139B">
      <w:pPr>
        <w:spacing w:line="620" w:lineRule="exact"/>
        <w:ind w:firstLineChars="200" w:firstLine="600"/>
        <w:rPr>
          <w:rFonts w:ascii="仿宋_GB2312" w:eastAsia="仿宋_GB2312"/>
          <w:sz w:val="30"/>
          <w:szCs w:val="30"/>
        </w:rPr>
      </w:pPr>
      <w:r w:rsidRPr="00A5423B">
        <w:rPr>
          <w:rFonts w:ascii="仿宋_GB2312" w:eastAsia="仿宋_GB2312" w:hint="eastAsia"/>
          <w:sz w:val="30"/>
          <w:szCs w:val="30"/>
        </w:rPr>
        <w:t>4.市级重点课程建设期为两年。建设期满经验收优秀的课程授予“上海市精品课程”称号。</w:t>
      </w:r>
    </w:p>
    <w:p w:rsidR="0099139B" w:rsidRPr="00A5423B" w:rsidRDefault="0099139B" w:rsidP="0099139B">
      <w:pPr>
        <w:adjustRightInd w:val="0"/>
        <w:snapToGrid w:val="0"/>
        <w:spacing w:line="620" w:lineRule="exact"/>
        <w:ind w:firstLineChars="200" w:firstLine="600"/>
        <w:jc w:val="left"/>
        <w:rPr>
          <w:rFonts w:ascii="黑体" w:eastAsia="黑体" w:hAnsi="宋体" w:cs="宋体"/>
          <w:color w:val="000000"/>
          <w:kern w:val="0"/>
          <w:sz w:val="30"/>
          <w:szCs w:val="30"/>
        </w:rPr>
      </w:pPr>
      <w:r w:rsidRPr="00A5423B">
        <w:rPr>
          <w:rFonts w:ascii="黑体" w:eastAsia="黑体" w:hAnsi="宋体" w:cs="宋体" w:hint="eastAsia"/>
          <w:color w:val="000000"/>
          <w:kern w:val="0"/>
          <w:sz w:val="30"/>
          <w:szCs w:val="30"/>
        </w:rPr>
        <w:lastRenderedPageBreak/>
        <w:t>三、材料提交</w:t>
      </w:r>
    </w:p>
    <w:p w:rsidR="0099139B" w:rsidRPr="00A5423B" w:rsidRDefault="0099139B" w:rsidP="0099139B">
      <w:pPr>
        <w:pStyle w:val="a5"/>
        <w:widowControl w:val="0"/>
        <w:spacing w:before="0" w:beforeAutospacing="0" w:after="0" w:afterAutospacing="0" w:line="620" w:lineRule="exact"/>
        <w:ind w:firstLineChars="200" w:firstLine="600"/>
        <w:rPr>
          <w:rFonts w:ascii="仿宋_GB2312" w:eastAsia="仿宋_GB2312" w:cs="Times New Roman"/>
          <w:kern w:val="2"/>
          <w:sz w:val="30"/>
          <w:szCs w:val="30"/>
        </w:rPr>
      </w:pPr>
      <w:r w:rsidRPr="00A5423B">
        <w:rPr>
          <w:rFonts w:ascii="仿宋_GB2312" w:eastAsia="仿宋_GB2312" w:cs="Times New Roman" w:hint="eastAsia"/>
          <w:kern w:val="2"/>
          <w:sz w:val="30"/>
          <w:szCs w:val="30"/>
        </w:rPr>
        <w:t>1.申报学校须提交如下材料：学校公文（简述学校重点课程的建设和申报情况）一份；《上海市教委重点课程项目申报表》（附件1）一式三份；《上海市教委重点课程项目申报汇总表》（附件2）一份。相关表格可从“上海教育”网站上下载。</w:t>
      </w:r>
    </w:p>
    <w:p w:rsidR="0099139B" w:rsidRPr="00A5423B" w:rsidRDefault="0099139B" w:rsidP="0099139B">
      <w:pPr>
        <w:pStyle w:val="a5"/>
        <w:widowControl w:val="0"/>
        <w:spacing w:before="0" w:beforeAutospacing="0" w:after="0" w:afterAutospacing="0" w:line="620" w:lineRule="exact"/>
        <w:ind w:firstLineChars="200" w:firstLine="600"/>
        <w:rPr>
          <w:rFonts w:ascii="仿宋_GB2312" w:eastAsia="仿宋_GB2312" w:cs="Times New Roman"/>
          <w:kern w:val="2"/>
          <w:sz w:val="30"/>
          <w:szCs w:val="30"/>
        </w:rPr>
      </w:pPr>
      <w:r w:rsidRPr="00A5423B">
        <w:rPr>
          <w:rFonts w:ascii="仿宋_GB2312" w:eastAsia="仿宋_GB2312" w:cs="Times New Roman" w:hint="eastAsia"/>
          <w:kern w:val="2"/>
          <w:sz w:val="30"/>
          <w:szCs w:val="30"/>
        </w:rPr>
        <w:t>2. 请各高校于6月30日前将上述材料寄至上海市教育评估院高等教育评估所，同时将电子版发送至市教委高教处和上海市教育评估院高等教育评估所。</w:t>
      </w:r>
    </w:p>
    <w:p w:rsidR="0099139B" w:rsidRPr="00A5423B" w:rsidRDefault="0099139B" w:rsidP="0099139B">
      <w:pPr>
        <w:spacing w:line="620" w:lineRule="exact"/>
        <w:ind w:leftChars="-1" w:left="-1" w:right="1" w:hanging="1"/>
        <w:rPr>
          <w:rFonts w:ascii="仿宋_GB2312" w:eastAsia="仿宋_GB2312"/>
          <w:sz w:val="30"/>
          <w:szCs w:val="30"/>
        </w:rPr>
      </w:pPr>
      <w:r>
        <w:rPr>
          <w:rFonts w:ascii="仿宋_GB2312" w:eastAsia="仿宋_GB2312" w:hint="eastAsia"/>
          <w:sz w:val="30"/>
          <w:szCs w:val="30"/>
        </w:rPr>
        <w:t xml:space="preserve">  </w:t>
      </w:r>
    </w:p>
    <w:p w:rsidR="0099139B" w:rsidRPr="00A5423B" w:rsidRDefault="0099139B" w:rsidP="0099139B">
      <w:pPr>
        <w:pStyle w:val="a5"/>
        <w:widowControl w:val="0"/>
        <w:spacing w:before="0" w:beforeAutospacing="0" w:after="0" w:afterAutospacing="0" w:line="620" w:lineRule="exact"/>
        <w:ind w:firstLineChars="200" w:firstLine="600"/>
        <w:rPr>
          <w:rFonts w:ascii="仿宋_GB2312" w:eastAsia="仿宋_GB2312"/>
          <w:sz w:val="30"/>
          <w:szCs w:val="30"/>
        </w:rPr>
      </w:pPr>
      <w:r w:rsidRPr="00A5423B">
        <w:rPr>
          <w:rFonts w:ascii="仿宋_GB2312" w:eastAsia="仿宋_GB2312" w:hint="eastAsia"/>
          <w:sz w:val="30"/>
          <w:szCs w:val="30"/>
        </w:rPr>
        <w:t>（上海市教育委员会高等教育处：孔</w:t>
      </w:r>
      <w:proofErr w:type="gramStart"/>
      <w:r w:rsidRPr="00A5423B">
        <w:rPr>
          <w:rFonts w:ascii="仿宋_GB2312" w:eastAsia="仿宋_GB2312" w:hint="eastAsia"/>
          <w:sz w:val="30"/>
          <w:szCs w:val="30"/>
        </w:rPr>
        <w:t>莹莹</w:t>
      </w:r>
      <w:proofErr w:type="gramEnd"/>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电话：23116735，23116725</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地址：大沽路100号</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邮编：200003</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Times New Roman" w:eastAsia="仿宋_GB2312" w:hAnsi="Times New Roman" w:cs="Times New Roman" w:hint="eastAsia"/>
          <w:sz w:val="30"/>
          <w:szCs w:val="30"/>
        </w:rPr>
        <w:t>E-mail</w:t>
      </w:r>
      <w:r w:rsidRPr="00A5423B">
        <w:rPr>
          <w:rFonts w:ascii="仿宋_GB2312" w:eastAsia="仿宋_GB2312" w:hint="eastAsia"/>
          <w:sz w:val="30"/>
          <w:szCs w:val="30"/>
        </w:rPr>
        <w:t>：</w:t>
      </w:r>
      <w:r w:rsidRPr="00A5423B">
        <w:rPr>
          <w:rFonts w:ascii="Times New Roman" w:eastAsia="仿宋_GB2312" w:hAnsi="Times New Roman" w:cs="Times New Roman"/>
          <w:sz w:val="30"/>
          <w:szCs w:val="30"/>
        </w:rPr>
        <w:t>kongyy@shec.edu.cn</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上海市教育评估院高教评估所：林江涌，胡莹</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电话：54046954，54041768</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地址：陕西南路202号</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仿宋_GB2312" w:eastAsia="仿宋_GB2312" w:hint="eastAsia"/>
          <w:sz w:val="30"/>
          <w:szCs w:val="30"/>
        </w:rPr>
        <w:t>邮编：200031</w:t>
      </w:r>
    </w:p>
    <w:p w:rsidR="0099139B" w:rsidRPr="00A5423B" w:rsidRDefault="0099139B" w:rsidP="0099139B">
      <w:pPr>
        <w:pStyle w:val="a5"/>
        <w:spacing w:before="0" w:beforeAutospacing="0" w:after="0" w:afterAutospacing="0" w:line="620" w:lineRule="exact"/>
        <w:ind w:firstLineChars="300" w:firstLine="900"/>
        <w:rPr>
          <w:rFonts w:ascii="仿宋_GB2312" w:eastAsia="仿宋_GB2312"/>
          <w:sz w:val="30"/>
          <w:szCs w:val="30"/>
        </w:rPr>
      </w:pPr>
      <w:r w:rsidRPr="00A5423B">
        <w:rPr>
          <w:rFonts w:ascii="Times New Roman" w:eastAsia="仿宋_GB2312" w:hAnsi="Times New Roman" w:cs="Times New Roman" w:hint="eastAsia"/>
          <w:sz w:val="30"/>
          <w:szCs w:val="30"/>
        </w:rPr>
        <w:t>E-mail</w:t>
      </w:r>
      <w:r w:rsidRPr="00A5423B">
        <w:rPr>
          <w:rFonts w:ascii="仿宋_GB2312" w:eastAsia="仿宋_GB2312" w:hint="eastAsia"/>
          <w:sz w:val="30"/>
          <w:szCs w:val="30"/>
        </w:rPr>
        <w:t>：</w:t>
      </w:r>
      <w:r w:rsidRPr="00A5423B">
        <w:rPr>
          <w:rFonts w:ascii="Times New Roman" w:eastAsia="仿宋_GB2312" w:hAnsi="Times New Roman" w:cs="Times New Roman" w:hint="eastAsia"/>
          <w:sz w:val="30"/>
          <w:szCs w:val="30"/>
        </w:rPr>
        <w:t>linjiangyong520@126.com</w:t>
      </w:r>
      <w:r w:rsidRPr="00A5423B">
        <w:rPr>
          <w:rFonts w:ascii="仿宋_GB2312" w:eastAsia="仿宋_GB2312" w:hint="eastAsia"/>
          <w:sz w:val="30"/>
          <w:szCs w:val="30"/>
        </w:rPr>
        <w:t>）</w:t>
      </w:r>
    </w:p>
    <w:p w:rsidR="00E20A3F" w:rsidRDefault="00E20A3F" w:rsidP="00E20A3F">
      <w:pPr>
        <w:spacing w:line="620" w:lineRule="exact"/>
        <w:ind w:right="361" w:firstLineChars="1465" w:firstLine="4395"/>
        <w:rPr>
          <w:rFonts w:ascii="仿宋_GB2312" w:eastAsia="仿宋_GB2312" w:hint="eastAsia"/>
          <w:sz w:val="30"/>
          <w:szCs w:val="30"/>
        </w:rPr>
      </w:pPr>
    </w:p>
    <w:p w:rsidR="0099139B" w:rsidRPr="004806AD" w:rsidRDefault="00E20A3F" w:rsidP="00E20A3F">
      <w:pPr>
        <w:spacing w:line="620" w:lineRule="exact"/>
        <w:ind w:right="361" w:firstLineChars="1465" w:firstLine="4395"/>
        <w:rPr>
          <w:rFonts w:ascii="仿宋_GB2312" w:eastAsia="仿宋_GB2312"/>
          <w:sz w:val="30"/>
          <w:szCs w:val="30"/>
        </w:rPr>
      </w:pPr>
      <w:r>
        <w:rPr>
          <w:rFonts w:ascii="仿宋_GB2312" w:eastAsia="仿宋_GB2312" w:hint="eastAsia"/>
          <w:sz w:val="30"/>
          <w:szCs w:val="30"/>
        </w:rPr>
        <w:t>上</w:t>
      </w:r>
      <w:r w:rsidR="0099139B" w:rsidRPr="004806AD">
        <w:rPr>
          <w:rFonts w:ascii="仿宋_GB2312" w:eastAsia="仿宋_GB2312" w:hint="eastAsia"/>
          <w:sz w:val="30"/>
          <w:szCs w:val="30"/>
        </w:rPr>
        <w:t xml:space="preserve"> 海 市 教 育 委 员 会</w:t>
      </w:r>
    </w:p>
    <w:p w:rsidR="0099139B" w:rsidRPr="004806AD" w:rsidRDefault="0099139B" w:rsidP="0099139B">
      <w:pPr>
        <w:tabs>
          <w:tab w:val="left" w:pos="7380"/>
          <w:tab w:val="left" w:pos="7560"/>
        </w:tabs>
        <w:spacing w:line="620" w:lineRule="exact"/>
        <w:ind w:right="361" w:firstLineChars="1750" w:firstLine="5250"/>
        <w:rPr>
          <w:rFonts w:ascii="仿宋_GB2312" w:eastAsia="仿宋_GB2312"/>
          <w:sz w:val="30"/>
          <w:szCs w:val="30"/>
        </w:rPr>
      </w:pPr>
      <w:r w:rsidRPr="004806AD">
        <w:rPr>
          <w:rFonts w:ascii="仿宋_GB2312" w:eastAsia="仿宋_GB2312" w:hint="eastAsia"/>
          <w:sz w:val="30"/>
          <w:szCs w:val="30"/>
        </w:rPr>
        <w:t>201</w:t>
      </w:r>
      <w:r>
        <w:rPr>
          <w:rFonts w:ascii="仿宋_GB2312" w:eastAsia="仿宋_GB2312" w:hint="eastAsia"/>
          <w:sz w:val="30"/>
          <w:szCs w:val="30"/>
        </w:rPr>
        <w:t>3</w:t>
      </w:r>
      <w:r w:rsidRPr="004806AD">
        <w:rPr>
          <w:rFonts w:ascii="仿宋_GB2312" w:eastAsia="仿宋_GB2312" w:hint="eastAsia"/>
          <w:sz w:val="30"/>
          <w:szCs w:val="30"/>
        </w:rPr>
        <w:t>年</w:t>
      </w:r>
      <w:r>
        <w:rPr>
          <w:rFonts w:ascii="仿宋_GB2312" w:eastAsia="仿宋_GB2312" w:hint="eastAsia"/>
          <w:sz w:val="30"/>
          <w:szCs w:val="30"/>
        </w:rPr>
        <w:t>5</w:t>
      </w:r>
      <w:r w:rsidRPr="004806AD">
        <w:rPr>
          <w:rFonts w:ascii="仿宋_GB2312" w:eastAsia="仿宋_GB2312" w:hint="eastAsia"/>
          <w:sz w:val="30"/>
          <w:szCs w:val="30"/>
        </w:rPr>
        <w:t>月</w:t>
      </w:r>
      <w:r>
        <w:rPr>
          <w:rFonts w:ascii="仿宋_GB2312" w:eastAsia="仿宋_GB2312" w:hint="eastAsia"/>
          <w:sz w:val="30"/>
          <w:szCs w:val="30"/>
        </w:rPr>
        <w:t>24</w:t>
      </w:r>
      <w:r w:rsidRPr="004806AD">
        <w:rPr>
          <w:rFonts w:ascii="仿宋_GB2312" w:eastAsia="仿宋_GB2312" w:hint="eastAsia"/>
          <w:sz w:val="30"/>
          <w:szCs w:val="30"/>
        </w:rPr>
        <w:t>日</w:t>
      </w:r>
    </w:p>
    <w:p w:rsidR="00AA5F7F" w:rsidRPr="0099139B" w:rsidRDefault="00AA5F7F"/>
    <w:sectPr w:rsidR="00AA5F7F" w:rsidRPr="0099139B" w:rsidSect="00AA5F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686" w:rsidRDefault="003A2686" w:rsidP="0099139B">
      <w:r>
        <w:separator/>
      </w:r>
    </w:p>
  </w:endnote>
  <w:endnote w:type="continuationSeparator" w:id="0">
    <w:p w:rsidR="003A2686" w:rsidRDefault="003A2686" w:rsidP="009913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Arial Unicode MS"/>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686" w:rsidRDefault="003A2686" w:rsidP="0099139B">
      <w:r>
        <w:separator/>
      </w:r>
    </w:p>
  </w:footnote>
  <w:footnote w:type="continuationSeparator" w:id="0">
    <w:p w:rsidR="003A2686" w:rsidRDefault="003A2686" w:rsidP="009913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9139B"/>
    <w:rsid w:val="003A2686"/>
    <w:rsid w:val="007D5066"/>
    <w:rsid w:val="0099139B"/>
    <w:rsid w:val="00AA5F7F"/>
    <w:rsid w:val="00D8047B"/>
    <w:rsid w:val="00E20A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39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913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9139B"/>
    <w:rPr>
      <w:sz w:val="18"/>
      <w:szCs w:val="18"/>
    </w:rPr>
  </w:style>
  <w:style w:type="paragraph" w:styleId="a4">
    <w:name w:val="footer"/>
    <w:basedOn w:val="a"/>
    <w:link w:val="Char0"/>
    <w:uiPriority w:val="99"/>
    <w:semiHidden/>
    <w:unhideWhenUsed/>
    <w:rsid w:val="009913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9139B"/>
    <w:rPr>
      <w:sz w:val="18"/>
      <w:szCs w:val="18"/>
    </w:rPr>
  </w:style>
  <w:style w:type="paragraph" w:styleId="a5">
    <w:name w:val="Normal (Web)"/>
    <w:basedOn w:val="a"/>
    <w:rsid w:val="0099139B"/>
    <w:pPr>
      <w:widowControl/>
      <w:spacing w:before="100" w:beforeAutospacing="1" w:after="100" w:afterAutospacing="1"/>
      <w:jc w:val="left"/>
    </w:pPr>
    <w:rPr>
      <w:rFonts w:ascii="宋体" w:hAnsi="宋体" w:cs="宋体"/>
      <w:kern w:val="0"/>
      <w:sz w:val="24"/>
      <w:szCs w:val="24"/>
    </w:rPr>
  </w:style>
  <w:style w:type="paragraph" w:styleId="a6">
    <w:name w:val="Balloon Text"/>
    <w:basedOn w:val="a"/>
    <w:link w:val="Char1"/>
    <w:uiPriority w:val="99"/>
    <w:semiHidden/>
    <w:unhideWhenUsed/>
    <w:rsid w:val="00E20A3F"/>
    <w:rPr>
      <w:sz w:val="18"/>
      <w:szCs w:val="18"/>
    </w:rPr>
  </w:style>
  <w:style w:type="character" w:customStyle="1" w:styleId="Char1">
    <w:name w:val="批注框文本 Char"/>
    <w:basedOn w:val="a0"/>
    <w:link w:val="a6"/>
    <w:uiPriority w:val="99"/>
    <w:semiHidden/>
    <w:rsid w:val="00E20A3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cp:lastPrinted>2013-05-29T07:05:00Z</cp:lastPrinted>
  <dcterms:created xsi:type="dcterms:W3CDTF">2013-05-29T06:48:00Z</dcterms:created>
  <dcterms:modified xsi:type="dcterms:W3CDTF">2013-05-29T07:05:00Z</dcterms:modified>
</cp:coreProperties>
</file>