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10" w:rsidRDefault="00BF15E5" w:rsidP="00D72E17">
      <w:pPr>
        <w:jc w:val="center"/>
        <w:rPr>
          <w:sz w:val="36"/>
          <w:szCs w:val="36"/>
        </w:rPr>
      </w:pPr>
      <w:r w:rsidRPr="00D72E17">
        <w:rPr>
          <w:rFonts w:hint="eastAsia"/>
          <w:sz w:val="36"/>
          <w:szCs w:val="36"/>
        </w:rPr>
        <w:t>关于选修课程修读</w:t>
      </w:r>
      <w:r w:rsidR="00D72E17" w:rsidRPr="00D72E17">
        <w:rPr>
          <w:rFonts w:hint="eastAsia"/>
          <w:sz w:val="36"/>
          <w:szCs w:val="36"/>
        </w:rPr>
        <w:t>的</w:t>
      </w:r>
      <w:r w:rsidRPr="00D72E17">
        <w:rPr>
          <w:rFonts w:hint="eastAsia"/>
          <w:sz w:val="36"/>
          <w:szCs w:val="36"/>
        </w:rPr>
        <w:t>说明</w:t>
      </w:r>
    </w:p>
    <w:p w:rsidR="00D72E17" w:rsidRDefault="00D72E17" w:rsidP="00956EDF">
      <w:pPr>
        <w:adjustRightInd w:val="0"/>
        <w:snapToGrid w:val="0"/>
        <w:spacing w:line="360" w:lineRule="auto"/>
        <w:ind w:firstLineChars="200" w:firstLine="720"/>
        <w:rPr>
          <w:sz w:val="36"/>
          <w:szCs w:val="36"/>
        </w:rPr>
      </w:pPr>
    </w:p>
    <w:p w:rsidR="00956EDF" w:rsidRPr="00956EDF" w:rsidRDefault="00956EDF" w:rsidP="00956EDF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56EDF">
        <w:rPr>
          <w:rFonts w:asciiTheme="minorEastAsia" w:hAnsiTheme="minorEastAsia" w:hint="eastAsia"/>
          <w:sz w:val="28"/>
          <w:szCs w:val="28"/>
        </w:rPr>
        <w:t>学生因本着拓宽知识面、增强专业适应能力、发挥自主性、培养个性特长为目的，根据培养计划的要求，合理选修。</w:t>
      </w:r>
    </w:p>
    <w:p w:rsidR="00D72E17" w:rsidRPr="00956EDF" w:rsidRDefault="00D72E17" w:rsidP="00956EDF">
      <w:pPr>
        <w:pStyle w:val="a3"/>
        <w:adjustRightInd w:val="0"/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956EDF">
        <w:rPr>
          <w:rFonts w:asciiTheme="minorEastAsia" w:hAnsiTheme="minorEastAsia" w:hint="eastAsia"/>
          <w:sz w:val="28"/>
          <w:szCs w:val="28"/>
        </w:rPr>
        <w:t>1、</w:t>
      </w:r>
      <w:r w:rsidR="00C90DDA">
        <w:rPr>
          <w:rFonts w:asciiTheme="minorEastAsia" w:hAnsiTheme="minorEastAsia" w:hint="eastAsia"/>
          <w:sz w:val="28"/>
          <w:szCs w:val="28"/>
        </w:rPr>
        <w:t>各专业按照</w:t>
      </w:r>
      <w:r w:rsidR="00BF15E5" w:rsidRPr="00956EDF">
        <w:rPr>
          <w:rFonts w:asciiTheme="minorEastAsia" w:hAnsiTheme="minorEastAsia" w:hint="eastAsia"/>
          <w:sz w:val="28"/>
          <w:szCs w:val="28"/>
        </w:rPr>
        <w:t>教学计划的要求在本科毕业前必须完成本专业</w:t>
      </w:r>
      <w:r w:rsidRPr="00956EDF">
        <w:rPr>
          <w:rFonts w:asciiTheme="minorEastAsia" w:hAnsiTheme="minorEastAsia" w:hint="eastAsia"/>
          <w:sz w:val="28"/>
          <w:szCs w:val="28"/>
        </w:rPr>
        <w:t>所</w:t>
      </w:r>
      <w:r w:rsidR="00BF15E5" w:rsidRPr="00956EDF">
        <w:rPr>
          <w:rFonts w:asciiTheme="minorEastAsia" w:hAnsiTheme="minorEastAsia" w:hint="eastAsia"/>
          <w:sz w:val="28"/>
          <w:szCs w:val="28"/>
        </w:rPr>
        <w:t>规定修读的选修课程学分</w:t>
      </w:r>
      <w:r w:rsidR="00E52D29" w:rsidRPr="00956EDF">
        <w:rPr>
          <w:rFonts w:asciiTheme="minorEastAsia" w:hAnsiTheme="minorEastAsia" w:hint="eastAsia"/>
          <w:sz w:val="28"/>
          <w:szCs w:val="28"/>
        </w:rPr>
        <w:t>。</w:t>
      </w:r>
    </w:p>
    <w:p w:rsidR="00D72E17" w:rsidRPr="00956EDF" w:rsidRDefault="00D72E17" w:rsidP="00956EDF">
      <w:pPr>
        <w:pStyle w:val="a3"/>
        <w:adjustRightInd w:val="0"/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956EDF">
        <w:rPr>
          <w:rFonts w:asciiTheme="minorEastAsia" w:hAnsiTheme="minorEastAsia" w:hint="eastAsia"/>
          <w:sz w:val="28"/>
          <w:szCs w:val="28"/>
        </w:rPr>
        <w:t>2、</w:t>
      </w:r>
      <w:r w:rsidR="00327427">
        <w:rPr>
          <w:rFonts w:asciiTheme="minorEastAsia" w:hAnsiTheme="minorEastAsia" w:hint="eastAsia"/>
          <w:sz w:val="28"/>
          <w:szCs w:val="28"/>
        </w:rPr>
        <w:t>选修课程有</w:t>
      </w:r>
      <w:r w:rsidR="00E52D29" w:rsidRPr="00956EDF">
        <w:rPr>
          <w:rFonts w:asciiTheme="minorEastAsia" w:hAnsiTheme="minorEastAsia" w:hint="eastAsia"/>
          <w:sz w:val="28"/>
          <w:szCs w:val="28"/>
        </w:rPr>
        <w:t>指定选修和任意选修二类。指定选修课程不需要选课，作为必修课程</w:t>
      </w:r>
      <w:r w:rsidRPr="00956EDF">
        <w:rPr>
          <w:rFonts w:asciiTheme="minorEastAsia" w:hAnsiTheme="minorEastAsia" w:hint="eastAsia"/>
          <w:sz w:val="28"/>
          <w:szCs w:val="28"/>
        </w:rPr>
        <w:t>排课</w:t>
      </w:r>
      <w:r w:rsidR="00E52D29" w:rsidRPr="00956EDF">
        <w:rPr>
          <w:rFonts w:asciiTheme="minorEastAsia" w:hAnsiTheme="minorEastAsia" w:hint="eastAsia"/>
          <w:sz w:val="28"/>
          <w:szCs w:val="28"/>
        </w:rPr>
        <w:t>。</w:t>
      </w:r>
    </w:p>
    <w:p w:rsidR="00E52D29" w:rsidRPr="00956EDF" w:rsidRDefault="00D72E17" w:rsidP="00956EDF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56EDF">
        <w:rPr>
          <w:rFonts w:asciiTheme="minorEastAsia" w:hAnsiTheme="minorEastAsia" w:hint="eastAsia"/>
          <w:sz w:val="28"/>
          <w:szCs w:val="28"/>
        </w:rPr>
        <w:t>3、</w:t>
      </w:r>
      <w:r w:rsidR="00E52D29" w:rsidRPr="00956EDF">
        <w:rPr>
          <w:rFonts w:asciiTheme="minorEastAsia" w:hAnsiTheme="minorEastAsia" w:hint="eastAsia"/>
          <w:sz w:val="28"/>
          <w:szCs w:val="28"/>
        </w:rPr>
        <w:t>选修课考核不及格不再补考，该课程作无学分处理。</w:t>
      </w:r>
    </w:p>
    <w:p w:rsidR="007261EA" w:rsidRPr="00956EDF" w:rsidRDefault="007261EA" w:rsidP="00956EDF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56EDF">
        <w:rPr>
          <w:rFonts w:asciiTheme="minorEastAsia" w:hAnsiTheme="minorEastAsia" w:hint="eastAsia"/>
          <w:sz w:val="28"/>
          <w:szCs w:val="28"/>
        </w:rPr>
        <w:t>4、学生修读的他校选修课程（须由医学院教务处认定），如上海市高校共享课程、</w:t>
      </w:r>
      <w:proofErr w:type="gramStart"/>
      <w:r w:rsidRPr="00956EDF">
        <w:rPr>
          <w:rFonts w:asciiTheme="minorEastAsia" w:hAnsiTheme="minorEastAsia" w:hint="eastAsia"/>
          <w:sz w:val="28"/>
          <w:szCs w:val="28"/>
        </w:rPr>
        <w:t>好大学</w:t>
      </w:r>
      <w:proofErr w:type="gramEnd"/>
      <w:r w:rsidRPr="00956EDF">
        <w:rPr>
          <w:rFonts w:asciiTheme="minorEastAsia" w:hAnsiTheme="minorEastAsia" w:hint="eastAsia"/>
          <w:sz w:val="28"/>
          <w:szCs w:val="28"/>
        </w:rPr>
        <w:t>在线MOOC课程，上海西南片高校选修课程等</w:t>
      </w:r>
      <w:r w:rsidR="00956EDF">
        <w:rPr>
          <w:rFonts w:asciiTheme="minorEastAsia" w:hAnsiTheme="minorEastAsia" w:hint="eastAsia"/>
          <w:sz w:val="28"/>
          <w:szCs w:val="28"/>
        </w:rPr>
        <w:t>，</w:t>
      </w:r>
      <w:r w:rsidR="00971FDF">
        <w:rPr>
          <w:rFonts w:asciiTheme="minorEastAsia" w:hAnsiTheme="minorEastAsia" w:hint="eastAsia"/>
          <w:sz w:val="28"/>
          <w:szCs w:val="28"/>
        </w:rPr>
        <w:t>所得学分可以抵充相应的选修课学分</w:t>
      </w:r>
      <w:r w:rsidR="00CE32D4">
        <w:rPr>
          <w:rFonts w:asciiTheme="minorEastAsia" w:hAnsiTheme="minorEastAsia" w:hint="eastAsia"/>
          <w:sz w:val="28"/>
          <w:szCs w:val="28"/>
        </w:rPr>
        <w:t>(累计不超过6学分)</w:t>
      </w:r>
      <w:r w:rsidRPr="00956EDF">
        <w:rPr>
          <w:rFonts w:asciiTheme="minorEastAsia" w:hAnsiTheme="minorEastAsia" w:hint="eastAsia"/>
          <w:sz w:val="28"/>
          <w:szCs w:val="28"/>
        </w:rPr>
        <w:t>。</w:t>
      </w:r>
    </w:p>
    <w:p w:rsidR="00E52D29" w:rsidRDefault="007261EA" w:rsidP="00956EDF">
      <w:pPr>
        <w:pStyle w:val="a3"/>
        <w:adjustRightInd w:val="0"/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956EDF">
        <w:rPr>
          <w:rFonts w:asciiTheme="minorEastAsia" w:hAnsiTheme="minorEastAsia" w:hint="eastAsia"/>
          <w:sz w:val="28"/>
          <w:szCs w:val="28"/>
        </w:rPr>
        <w:t>5</w:t>
      </w:r>
      <w:r w:rsidR="00D72E17" w:rsidRPr="00956EDF">
        <w:rPr>
          <w:rFonts w:asciiTheme="minorEastAsia" w:hAnsiTheme="minorEastAsia" w:hint="eastAsia"/>
          <w:sz w:val="28"/>
          <w:szCs w:val="28"/>
        </w:rPr>
        <w:t>、</w:t>
      </w:r>
      <w:r w:rsidR="00327427">
        <w:rPr>
          <w:rFonts w:asciiTheme="minorEastAsia" w:hAnsiTheme="minorEastAsia" w:hint="eastAsia"/>
          <w:sz w:val="28"/>
          <w:szCs w:val="28"/>
        </w:rPr>
        <w:t>各专业选修课有人文社科类、专业基础类和专业方向类，以及军训和社会实践。</w:t>
      </w:r>
      <w:r w:rsidR="00D72E17" w:rsidRPr="00956EDF">
        <w:rPr>
          <w:rFonts w:asciiTheme="minorEastAsia" w:hAnsiTheme="minorEastAsia" w:hint="eastAsia"/>
          <w:sz w:val="28"/>
          <w:szCs w:val="28"/>
        </w:rPr>
        <w:t>不同类别的选修课学分不能相互抵用。</w:t>
      </w:r>
      <w:r w:rsidR="00E52D29" w:rsidRPr="00956EDF">
        <w:rPr>
          <w:rFonts w:asciiTheme="minorEastAsia" w:hAnsiTheme="minorEastAsia" w:hint="eastAsia"/>
          <w:sz w:val="28"/>
          <w:szCs w:val="28"/>
        </w:rPr>
        <w:t>毕业前未修完</w:t>
      </w:r>
      <w:r w:rsidR="00D72E17" w:rsidRPr="00956EDF">
        <w:rPr>
          <w:rFonts w:asciiTheme="minorEastAsia" w:hAnsiTheme="minorEastAsia" w:hint="eastAsia"/>
          <w:sz w:val="28"/>
          <w:szCs w:val="28"/>
        </w:rPr>
        <w:t>选修课学分，不予毕业。</w:t>
      </w:r>
    </w:p>
    <w:p w:rsidR="005B5499" w:rsidRPr="005B5499" w:rsidRDefault="005B5499" w:rsidP="00956EDF">
      <w:pPr>
        <w:pStyle w:val="a3"/>
        <w:adjustRightInd w:val="0"/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</w:p>
    <w:p w:rsidR="005B5499" w:rsidRDefault="005B5499" w:rsidP="005B5499">
      <w:pPr>
        <w:pStyle w:val="a3"/>
        <w:adjustRightInd w:val="0"/>
        <w:snapToGrid w:val="0"/>
        <w:spacing w:line="360" w:lineRule="auto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备注</w:t>
      </w:r>
      <w:r w:rsidR="00CE32D4">
        <w:rPr>
          <w:rFonts w:asciiTheme="minorEastAsia" w:hAnsiTheme="minorEastAsia" w:hint="eastAsia"/>
          <w:sz w:val="28"/>
          <w:szCs w:val="28"/>
        </w:rPr>
        <w:t>:2014</w:t>
      </w:r>
      <w:r w:rsidR="00D4288C">
        <w:rPr>
          <w:rFonts w:asciiTheme="minorEastAsia" w:hAnsiTheme="minorEastAsia" w:hint="eastAsia"/>
          <w:sz w:val="28"/>
          <w:szCs w:val="28"/>
        </w:rPr>
        <w:t>级及以前各年级按教学计划要求，人文社科类和专业基础</w:t>
      </w:r>
      <w:r>
        <w:rPr>
          <w:rFonts w:asciiTheme="minorEastAsia" w:hAnsiTheme="minorEastAsia" w:hint="eastAsia"/>
          <w:sz w:val="28"/>
          <w:szCs w:val="28"/>
        </w:rPr>
        <w:t>类学分可以相互抵用，专业</w:t>
      </w:r>
      <w:r w:rsidR="00D4288C">
        <w:rPr>
          <w:rFonts w:asciiTheme="minorEastAsia" w:hAnsiTheme="minorEastAsia" w:hint="eastAsia"/>
          <w:sz w:val="28"/>
          <w:szCs w:val="28"/>
        </w:rPr>
        <w:t>方向</w:t>
      </w:r>
      <w:r>
        <w:rPr>
          <w:rFonts w:asciiTheme="minorEastAsia" w:hAnsiTheme="minorEastAsia" w:hint="eastAsia"/>
          <w:sz w:val="28"/>
          <w:szCs w:val="28"/>
        </w:rPr>
        <w:t>类学分不能与人文社科类和</w:t>
      </w:r>
      <w:r w:rsidR="007E3110">
        <w:rPr>
          <w:rFonts w:asciiTheme="minorEastAsia" w:hAnsiTheme="minorEastAsia" w:hint="eastAsia"/>
          <w:sz w:val="28"/>
          <w:szCs w:val="28"/>
        </w:rPr>
        <w:t>专业基础</w:t>
      </w:r>
      <w:r>
        <w:rPr>
          <w:rFonts w:asciiTheme="minorEastAsia" w:hAnsiTheme="minorEastAsia" w:hint="eastAsia"/>
          <w:sz w:val="28"/>
          <w:szCs w:val="28"/>
        </w:rPr>
        <w:t>类相互抵用。</w:t>
      </w:r>
    </w:p>
    <w:p w:rsidR="00E9568E" w:rsidRDefault="00E9568E" w:rsidP="005B5499">
      <w:pPr>
        <w:pStyle w:val="a3"/>
        <w:adjustRightInd w:val="0"/>
        <w:snapToGrid w:val="0"/>
        <w:spacing w:line="360" w:lineRule="auto"/>
        <w:ind w:firstLineChars="0" w:firstLine="0"/>
        <w:rPr>
          <w:rFonts w:asciiTheme="minorEastAsia" w:hAnsiTheme="minorEastAsia"/>
          <w:sz w:val="28"/>
          <w:szCs w:val="28"/>
        </w:rPr>
      </w:pPr>
    </w:p>
    <w:p w:rsidR="00E9568E" w:rsidRPr="00894F8E" w:rsidRDefault="00E9568E" w:rsidP="00E9568E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附表:</w:t>
      </w:r>
      <w:r w:rsidRPr="00E9568E">
        <w:rPr>
          <w:rFonts w:hint="eastAsia"/>
          <w:sz w:val="28"/>
          <w:szCs w:val="28"/>
        </w:rPr>
        <w:t xml:space="preserve"> </w:t>
      </w:r>
      <w:r w:rsidRPr="00894F8E">
        <w:rPr>
          <w:rFonts w:hint="eastAsia"/>
          <w:sz w:val="28"/>
          <w:szCs w:val="28"/>
        </w:rPr>
        <w:t>各专业选修课修读学分要求</w:t>
      </w:r>
    </w:p>
    <w:p w:rsidR="005B5499" w:rsidRPr="00E9568E" w:rsidRDefault="005B5499" w:rsidP="00956EDF">
      <w:pPr>
        <w:pStyle w:val="a3"/>
        <w:adjustRightInd w:val="0"/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</w:p>
    <w:p w:rsidR="00956EDF" w:rsidRPr="00327427" w:rsidRDefault="00956EDF" w:rsidP="00327427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7261EA" w:rsidRPr="00956EDF" w:rsidRDefault="007261EA" w:rsidP="00956EDF">
      <w:pPr>
        <w:pStyle w:val="a3"/>
        <w:adjustRightInd w:val="0"/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956EDF">
        <w:rPr>
          <w:rFonts w:asciiTheme="minorEastAsia" w:hAnsiTheme="minorEastAsia" w:hint="eastAsia"/>
          <w:sz w:val="28"/>
          <w:szCs w:val="28"/>
        </w:rPr>
        <w:t xml:space="preserve">  </w:t>
      </w:r>
      <w:r w:rsidR="00956EDF">
        <w:rPr>
          <w:rFonts w:asciiTheme="minorEastAsia" w:hAnsiTheme="minorEastAsia" w:hint="eastAsia"/>
          <w:sz w:val="28"/>
          <w:szCs w:val="28"/>
        </w:rPr>
        <w:t xml:space="preserve">                            </w:t>
      </w:r>
      <w:r w:rsidRPr="00956EDF">
        <w:rPr>
          <w:rFonts w:asciiTheme="minorEastAsia" w:hAnsiTheme="minorEastAsia" w:hint="eastAsia"/>
          <w:sz w:val="28"/>
          <w:szCs w:val="28"/>
        </w:rPr>
        <w:t>上海交通大学医学院教务处</w:t>
      </w:r>
    </w:p>
    <w:p w:rsidR="007261EA" w:rsidRDefault="007261EA" w:rsidP="00956EDF">
      <w:pPr>
        <w:pStyle w:val="a3"/>
        <w:adjustRightInd w:val="0"/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956EDF">
        <w:rPr>
          <w:rFonts w:asciiTheme="minorEastAsia" w:hAnsiTheme="minorEastAsia" w:hint="eastAsia"/>
          <w:sz w:val="28"/>
          <w:szCs w:val="28"/>
        </w:rPr>
        <w:t xml:space="preserve">                                      2015年6月</w:t>
      </w:r>
    </w:p>
    <w:p w:rsidR="000866E1" w:rsidRPr="00894F8E" w:rsidRDefault="000866E1" w:rsidP="000866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</w:t>
      </w:r>
      <w:r w:rsidRPr="00894F8E">
        <w:rPr>
          <w:rFonts w:hint="eastAsia"/>
          <w:sz w:val="28"/>
          <w:szCs w:val="28"/>
        </w:rPr>
        <w:t>附表：各专业选修课修读学分要求</w:t>
      </w:r>
    </w:p>
    <w:tbl>
      <w:tblPr>
        <w:tblStyle w:val="a7"/>
        <w:tblW w:w="9022" w:type="dxa"/>
        <w:jc w:val="center"/>
        <w:tblLook w:val="04A0"/>
      </w:tblPr>
      <w:tblGrid>
        <w:gridCol w:w="2185"/>
        <w:gridCol w:w="1480"/>
        <w:gridCol w:w="1218"/>
        <w:gridCol w:w="1304"/>
        <w:gridCol w:w="834"/>
        <w:gridCol w:w="1275"/>
        <w:gridCol w:w="726"/>
      </w:tblGrid>
      <w:tr w:rsidR="000866E1" w:rsidRPr="00B82726" w:rsidTr="00467447">
        <w:trPr>
          <w:cantSplit/>
          <w:trHeight w:val="851"/>
          <w:jc w:val="center"/>
        </w:trPr>
        <w:tc>
          <w:tcPr>
            <w:tcW w:w="2185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480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人文社科类</w:t>
            </w:r>
          </w:p>
        </w:tc>
        <w:tc>
          <w:tcPr>
            <w:tcW w:w="1218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专业基础</w:t>
            </w:r>
          </w:p>
        </w:tc>
        <w:tc>
          <w:tcPr>
            <w:tcW w:w="130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专业方向</w:t>
            </w:r>
          </w:p>
        </w:tc>
        <w:tc>
          <w:tcPr>
            <w:tcW w:w="83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军训</w:t>
            </w:r>
          </w:p>
        </w:tc>
        <w:tc>
          <w:tcPr>
            <w:tcW w:w="1275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社会实践</w:t>
            </w:r>
          </w:p>
        </w:tc>
        <w:tc>
          <w:tcPr>
            <w:tcW w:w="726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</w:tr>
      <w:tr w:rsidR="000866E1" w:rsidRPr="00B82726" w:rsidTr="00467447">
        <w:trPr>
          <w:cantSplit/>
          <w:trHeight w:val="851"/>
          <w:jc w:val="center"/>
        </w:trPr>
        <w:tc>
          <w:tcPr>
            <w:tcW w:w="2185" w:type="dxa"/>
            <w:vAlign w:val="center"/>
          </w:tcPr>
          <w:p w:rsidR="000866E1" w:rsidRPr="00B82726" w:rsidRDefault="000866E1" w:rsidP="00467447">
            <w:pPr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临床医学八年制</w:t>
            </w:r>
          </w:p>
        </w:tc>
        <w:tc>
          <w:tcPr>
            <w:tcW w:w="1480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18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3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</w:tr>
      <w:tr w:rsidR="000866E1" w:rsidRPr="00B82726" w:rsidTr="00467447">
        <w:trPr>
          <w:cantSplit/>
          <w:trHeight w:val="851"/>
          <w:jc w:val="center"/>
        </w:trPr>
        <w:tc>
          <w:tcPr>
            <w:tcW w:w="2185" w:type="dxa"/>
            <w:vAlign w:val="center"/>
          </w:tcPr>
          <w:p w:rsidR="000866E1" w:rsidRPr="00B82726" w:rsidRDefault="000866E1" w:rsidP="00467447">
            <w:pPr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临床医学八年制（法语班）</w:t>
            </w:r>
          </w:p>
        </w:tc>
        <w:tc>
          <w:tcPr>
            <w:tcW w:w="1480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18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3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</w:tr>
      <w:tr w:rsidR="000866E1" w:rsidRPr="00B82726" w:rsidTr="00467447">
        <w:trPr>
          <w:cantSplit/>
          <w:trHeight w:val="851"/>
          <w:jc w:val="center"/>
        </w:trPr>
        <w:tc>
          <w:tcPr>
            <w:tcW w:w="2185" w:type="dxa"/>
            <w:vAlign w:val="center"/>
          </w:tcPr>
          <w:p w:rsidR="000866E1" w:rsidRPr="00B82726" w:rsidRDefault="000866E1" w:rsidP="00467447">
            <w:pPr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口腔医学七年制</w:t>
            </w:r>
          </w:p>
        </w:tc>
        <w:tc>
          <w:tcPr>
            <w:tcW w:w="1480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18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3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</w:tr>
      <w:tr w:rsidR="000866E1" w:rsidRPr="00B82726" w:rsidTr="00467447">
        <w:trPr>
          <w:cantSplit/>
          <w:trHeight w:val="851"/>
          <w:jc w:val="center"/>
        </w:trPr>
        <w:tc>
          <w:tcPr>
            <w:tcW w:w="2185" w:type="dxa"/>
            <w:vAlign w:val="center"/>
          </w:tcPr>
          <w:p w:rsidR="000866E1" w:rsidRPr="00B82726" w:rsidRDefault="000866E1" w:rsidP="00467447">
            <w:pPr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临床医学五年制</w:t>
            </w:r>
          </w:p>
        </w:tc>
        <w:tc>
          <w:tcPr>
            <w:tcW w:w="1480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18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3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</w:tr>
      <w:tr w:rsidR="000866E1" w:rsidRPr="00B82726" w:rsidTr="00467447">
        <w:trPr>
          <w:cantSplit/>
          <w:trHeight w:val="851"/>
          <w:jc w:val="center"/>
        </w:trPr>
        <w:tc>
          <w:tcPr>
            <w:tcW w:w="2185" w:type="dxa"/>
            <w:vAlign w:val="center"/>
          </w:tcPr>
          <w:p w:rsidR="000866E1" w:rsidRPr="00B82726" w:rsidRDefault="000866E1" w:rsidP="00467447">
            <w:pPr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临床医学五年制（英语班）</w:t>
            </w:r>
          </w:p>
        </w:tc>
        <w:tc>
          <w:tcPr>
            <w:tcW w:w="1480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18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3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</w:tr>
      <w:tr w:rsidR="000866E1" w:rsidRPr="00B82726" w:rsidTr="00467447">
        <w:trPr>
          <w:cantSplit/>
          <w:trHeight w:val="851"/>
          <w:jc w:val="center"/>
        </w:trPr>
        <w:tc>
          <w:tcPr>
            <w:tcW w:w="2185" w:type="dxa"/>
            <w:vAlign w:val="center"/>
          </w:tcPr>
          <w:p w:rsidR="000866E1" w:rsidRPr="00B82726" w:rsidRDefault="000866E1" w:rsidP="00467447">
            <w:pPr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临床医学五年制（儿科医学）</w:t>
            </w:r>
          </w:p>
        </w:tc>
        <w:tc>
          <w:tcPr>
            <w:tcW w:w="1480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18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3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</w:tr>
      <w:tr w:rsidR="000866E1" w:rsidRPr="00B82726" w:rsidTr="00467447">
        <w:trPr>
          <w:cantSplit/>
          <w:trHeight w:val="851"/>
          <w:jc w:val="center"/>
        </w:trPr>
        <w:tc>
          <w:tcPr>
            <w:tcW w:w="2185" w:type="dxa"/>
            <w:vAlign w:val="center"/>
          </w:tcPr>
          <w:p w:rsidR="000866E1" w:rsidRPr="00B82726" w:rsidRDefault="000866E1" w:rsidP="00467447">
            <w:pPr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预防医学</w:t>
            </w:r>
          </w:p>
        </w:tc>
        <w:tc>
          <w:tcPr>
            <w:tcW w:w="1480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18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3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</w:tr>
      <w:tr w:rsidR="000866E1" w:rsidRPr="00B82726" w:rsidTr="00467447">
        <w:trPr>
          <w:cantSplit/>
          <w:trHeight w:val="851"/>
          <w:jc w:val="center"/>
        </w:trPr>
        <w:tc>
          <w:tcPr>
            <w:tcW w:w="2185" w:type="dxa"/>
            <w:vAlign w:val="center"/>
          </w:tcPr>
          <w:p w:rsidR="000866E1" w:rsidRPr="00B82726" w:rsidRDefault="000866E1" w:rsidP="00467447">
            <w:pPr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医学检验技术</w:t>
            </w:r>
          </w:p>
        </w:tc>
        <w:tc>
          <w:tcPr>
            <w:tcW w:w="1480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18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83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0866E1" w:rsidRPr="00B82726" w:rsidRDefault="002B761E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0866E1" w:rsidRPr="00B82726" w:rsidTr="00467447">
        <w:trPr>
          <w:cantSplit/>
          <w:trHeight w:val="851"/>
          <w:jc w:val="center"/>
        </w:trPr>
        <w:tc>
          <w:tcPr>
            <w:tcW w:w="2185" w:type="dxa"/>
            <w:vAlign w:val="center"/>
          </w:tcPr>
          <w:p w:rsidR="000866E1" w:rsidRPr="00B82726" w:rsidRDefault="000866E1" w:rsidP="00467447">
            <w:pPr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食品卫生与营养学</w:t>
            </w:r>
          </w:p>
        </w:tc>
        <w:tc>
          <w:tcPr>
            <w:tcW w:w="1480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30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83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0866E1" w:rsidRPr="00B82726" w:rsidRDefault="002B761E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0866E1" w:rsidRPr="00B82726" w:rsidTr="00467447">
        <w:trPr>
          <w:cantSplit/>
          <w:trHeight w:val="851"/>
          <w:jc w:val="center"/>
        </w:trPr>
        <w:tc>
          <w:tcPr>
            <w:tcW w:w="2185" w:type="dxa"/>
            <w:vAlign w:val="center"/>
          </w:tcPr>
          <w:p w:rsidR="000866E1" w:rsidRPr="00B82726" w:rsidRDefault="000866E1" w:rsidP="00467447">
            <w:pPr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护理学</w:t>
            </w:r>
          </w:p>
        </w:tc>
        <w:tc>
          <w:tcPr>
            <w:tcW w:w="1480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18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834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866E1" w:rsidRPr="00B82726" w:rsidRDefault="000866E1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272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0866E1" w:rsidRPr="00B82726" w:rsidRDefault="002B761E" w:rsidP="00467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</w:tr>
    </w:tbl>
    <w:p w:rsidR="000866E1" w:rsidRPr="0026502C" w:rsidRDefault="000866E1" w:rsidP="000866E1"/>
    <w:p w:rsidR="004A3726" w:rsidRPr="00956EDF" w:rsidRDefault="004A3726" w:rsidP="00956EDF">
      <w:pPr>
        <w:pStyle w:val="a3"/>
        <w:adjustRightInd w:val="0"/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</w:p>
    <w:sectPr w:rsidR="004A3726" w:rsidRPr="00956EDF" w:rsidSect="0064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20B" w:rsidRDefault="00BB520B" w:rsidP="00956EDF">
      <w:r>
        <w:separator/>
      </w:r>
    </w:p>
  </w:endnote>
  <w:endnote w:type="continuationSeparator" w:id="0">
    <w:p w:rsidR="00BB520B" w:rsidRDefault="00BB520B" w:rsidP="00956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20B" w:rsidRDefault="00BB520B" w:rsidP="00956EDF">
      <w:r>
        <w:separator/>
      </w:r>
    </w:p>
  </w:footnote>
  <w:footnote w:type="continuationSeparator" w:id="0">
    <w:p w:rsidR="00BB520B" w:rsidRDefault="00BB520B" w:rsidP="00956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0D21"/>
    <w:multiLevelType w:val="hybridMultilevel"/>
    <w:tmpl w:val="487AD47E"/>
    <w:lvl w:ilvl="0" w:tplc="46324B8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F81EEB"/>
    <w:multiLevelType w:val="hybridMultilevel"/>
    <w:tmpl w:val="615A16D6"/>
    <w:lvl w:ilvl="0" w:tplc="54A8027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396A11"/>
    <w:multiLevelType w:val="hybridMultilevel"/>
    <w:tmpl w:val="97565BF2"/>
    <w:lvl w:ilvl="0" w:tplc="D07A92A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5E5"/>
    <w:rsid w:val="000023EF"/>
    <w:rsid w:val="000866E1"/>
    <w:rsid w:val="001C21AD"/>
    <w:rsid w:val="0027552D"/>
    <w:rsid w:val="00277C61"/>
    <w:rsid w:val="002A0FFD"/>
    <w:rsid w:val="002B761E"/>
    <w:rsid w:val="002C581A"/>
    <w:rsid w:val="00327427"/>
    <w:rsid w:val="00367DBA"/>
    <w:rsid w:val="00467345"/>
    <w:rsid w:val="004705A1"/>
    <w:rsid w:val="004A3726"/>
    <w:rsid w:val="0050315F"/>
    <w:rsid w:val="0058194C"/>
    <w:rsid w:val="00597077"/>
    <w:rsid w:val="005977DA"/>
    <w:rsid w:val="005B5499"/>
    <w:rsid w:val="00640E10"/>
    <w:rsid w:val="00687CDF"/>
    <w:rsid w:val="006E1D9C"/>
    <w:rsid w:val="00704906"/>
    <w:rsid w:val="007261EA"/>
    <w:rsid w:val="0074289C"/>
    <w:rsid w:val="007E3110"/>
    <w:rsid w:val="00826680"/>
    <w:rsid w:val="00925AC4"/>
    <w:rsid w:val="00931D8E"/>
    <w:rsid w:val="00952CD8"/>
    <w:rsid w:val="00956EDF"/>
    <w:rsid w:val="00971FDF"/>
    <w:rsid w:val="009A30FA"/>
    <w:rsid w:val="00A16CE8"/>
    <w:rsid w:val="00A548BA"/>
    <w:rsid w:val="00AE758B"/>
    <w:rsid w:val="00BB520B"/>
    <w:rsid w:val="00BF15E5"/>
    <w:rsid w:val="00C85FD1"/>
    <w:rsid w:val="00C90DDA"/>
    <w:rsid w:val="00CB06E6"/>
    <w:rsid w:val="00CD6232"/>
    <w:rsid w:val="00CE32D4"/>
    <w:rsid w:val="00D4288C"/>
    <w:rsid w:val="00D442F1"/>
    <w:rsid w:val="00D72E17"/>
    <w:rsid w:val="00DF6568"/>
    <w:rsid w:val="00E32465"/>
    <w:rsid w:val="00E52D29"/>
    <w:rsid w:val="00E9568E"/>
    <w:rsid w:val="00EB3E80"/>
    <w:rsid w:val="00F31B6C"/>
    <w:rsid w:val="00F45A79"/>
    <w:rsid w:val="00FB4D26"/>
    <w:rsid w:val="00FC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2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56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6ED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6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6EDF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A372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3726"/>
  </w:style>
  <w:style w:type="table" w:styleId="a7">
    <w:name w:val="Table Grid"/>
    <w:basedOn w:val="a1"/>
    <w:uiPriority w:val="59"/>
    <w:rsid w:val="00086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李鸣燕</dc:creator>
  <cp:lastModifiedBy>李鸣燕</cp:lastModifiedBy>
  <cp:revision>20</cp:revision>
  <cp:lastPrinted>2015-06-04T07:31:00Z</cp:lastPrinted>
  <dcterms:created xsi:type="dcterms:W3CDTF">2015-06-04T02:07:00Z</dcterms:created>
  <dcterms:modified xsi:type="dcterms:W3CDTF">2015-06-05T02:42:00Z</dcterms:modified>
</cp:coreProperties>
</file>