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0D" w:rsidRPr="002A63E8" w:rsidRDefault="002A63E8" w:rsidP="000308E8">
      <w:pPr>
        <w:spacing w:after="240" w:line="480" w:lineRule="auto"/>
        <w:jc w:val="center"/>
        <w:rPr>
          <w:b/>
          <w:sz w:val="30"/>
          <w:szCs w:val="30"/>
        </w:rPr>
      </w:pPr>
      <w:r w:rsidRPr="002A63E8">
        <w:rPr>
          <w:rFonts w:hint="eastAsia"/>
          <w:b/>
          <w:sz w:val="30"/>
          <w:szCs w:val="30"/>
        </w:rPr>
        <w:t>《</w:t>
      </w:r>
      <w:r w:rsidR="00933233">
        <w:rPr>
          <w:rFonts w:ascii="Calibri" w:eastAsia="宋体" w:hAnsi="Calibri" w:cs="Times New Roman" w:hint="eastAsia"/>
          <w:b/>
          <w:sz w:val="30"/>
          <w:szCs w:val="30"/>
        </w:rPr>
        <w:t>高级病理生理学</w:t>
      </w:r>
      <w:r w:rsidRPr="002A63E8">
        <w:rPr>
          <w:rFonts w:hint="eastAsia"/>
          <w:b/>
          <w:sz w:val="30"/>
          <w:szCs w:val="30"/>
        </w:rPr>
        <w:t>》</w:t>
      </w:r>
      <w:r w:rsidR="00B02AB0" w:rsidRPr="002A63E8">
        <w:rPr>
          <w:rFonts w:hint="eastAsia"/>
          <w:b/>
          <w:sz w:val="30"/>
          <w:szCs w:val="30"/>
        </w:rPr>
        <w:t>课程简介</w:t>
      </w:r>
    </w:p>
    <w:p w:rsidR="00B02AB0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授课对象</w:t>
      </w:r>
      <w:r w:rsidRPr="005847CA">
        <w:rPr>
          <w:rFonts w:hint="eastAsia"/>
          <w:b/>
          <w:sz w:val="24"/>
          <w:szCs w:val="24"/>
        </w:rPr>
        <w:t>:</w:t>
      </w:r>
      <w:r w:rsidR="005847CA" w:rsidRPr="005847CA">
        <w:rPr>
          <w:rFonts w:ascii="Calibri" w:eastAsia="宋体" w:hAnsi="Calibri" w:cs="Times New Roman"/>
          <w:sz w:val="24"/>
          <w:szCs w:val="24"/>
        </w:rPr>
        <w:t xml:space="preserve"> </w:t>
      </w:r>
      <w:r w:rsidR="005847CA" w:rsidRPr="005847CA">
        <w:rPr>
          <w:rFonts w:ascii="Calibri" w:eastAsia="宋体" w:hAnsi="Calibri" w:cs="Times New Roman"/>
          <w:sz w:val="24"/>
          <w:szCs w:val="24"/>
        </w:rPr>
        <w:t>本课程主要为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临床医学、</w:t>
      </w:r>
      <w:r w:rsidR="00933233" w:rsidRPr="00A93BDB">
        <w:rPr>
          <w:rFonts w:ascii="Calibri" w:eastAsia="宋体" w:hAnsi="Calibri" w:cs="Times New Roman" w:hint="eastAsia"/>
          <w:sz w:val="24"/>
          <w:szCs w:val="24"/>
        </w:rPr>
        <w:t>生物</w:t>
      </w:r>
      <w:r w:rsidR="00A93BDB">
        <w:rPr>
          <w:rFonts w:ascii="Calibri" w:eastAsia="宋体" w:hAnsi="Calibri" w:cs="Times New Roman" w:hint="eastAsia"/>
          <w:sz w:val="24"/>
          <w:szCs w:val="24"/>
        </w:rPr>
        <w:t>科</w:t>
      </w:r>
      <w:r w:rsidR="00933233" w:rsidRPr="00A93BDB">
        <w:rPr>
          <w:rFonts w:ascii="Calibri" w:eastAsia="宋体" w:hAnsi="Calibri" w:cs="Times New Roman" w:hint="eastAsia"/>
          <w:sz w:val="24"/>
          <w:szCs w:val="24"/>
        </w:rPr>
        <w:t>学</w:t>
      </w:r>
      <w:r w:rsidR="0072733F">
        <w:rPr>
          <w:rFonts w:ascii="Calibri" w:eastAsia="宋体" w:hAnsi="Calibri" w:cs="Times New Roman" w:hint="eastAsia"/>
          <w:sz w:val="24"/>
          <w:szCs w:val="24"/>
        </w:rPr>
        <w:t>、临床医学相关</w:t>
      </w:r>
      <w:r w:rsidR="005847CA" w:rsidRPr="005847CA">
        <w:rPr>
          <w:rFonts w:ascii="Calibri" w:eastAsia="宋体" w:hAnsi="Calibri" w:cs="Times New Roman"/>
          <w:sz w:val="24"/>
          <w:szCs w:val="24"/>
        </w:rPr>
        <w:t>专业研究生以及相关研究方向的其他</w:t>
      </w:r>
      <w:proofErr w:type="gramStart"/>
      <w:r w:rsidR="005847CA" w:rsidRPr="005847CA">
        <w:rPr>
          <w:rFonts w:ascii="Calibri" w:eastAsia="宋体" w:hAnsi="Calibri" w:cs="Times New Roman"/>
          <w:sz w:val="24"/>
          <w:szCs w:val="24"/>
        </w:rPr>
        <w:t>专业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直博生</w:t>
      </w:r>
      <w:proofErr w:type="gramEnd"/>
      <w:r w:rsidR="005847CA" w:rsidRPr="005847CA">
        <w:rPr>
          <w:rFonts w:ascii="Calibri" w:eastAsia="宋体" w:hAnsi="Calibri" w:cs="Times New Roman"/>
          <w:sz w:val="24"/>
          <w:szCs w:val="24"/>
        </w:rPr>
        <w:t>开设，选修本课的研究生应具备</w:t>
      </w:r>
      <w:r w:rsidR="000B5D1D">
        <w:rPr>
          <w:rFonts w:ascii="Calibri" w:eastAsia="宋体" w:hAnsi="Calibri" w:cs="Times New Roman" w:hint="eastAsia"/>
          <w:sz w:val="24"/>
          <w:szCs w:val="24"/>
        </w:rPr>
        <w:t>一定的</w:t>
      </w:r>
      <w:r w:rsidR="00933233">
        <w:rPr>
          <w:rFonts w:ascii="Calibri" w:eastAsia="宋体" w:hAnsi="Calibri" w:cs="Times New Roman" w:hint="eastAsia"/>
          <w:sz w:val="24"/>
          <w:szCs w:val="24"/>
        </w:rPr>
        <w:t>疾病学基础</w:t>
      </w:r>
      <w:r w:rsidR="005847CA" w:rsidRPr="005847CA">
        <w:rPr>
          <w:rFonts w:ascii="Calibri" w:eastAsia="宋体" w:hAnsi="Calibri" w:cs="Times New Roman"/>
          <w:sz w:val="24"/>
          <w:szCs w:val="24"/>
        </w:rPr>
        <w:t>的知识。</w:t>
      </w:r>
    </w:p>
    <w:p w:rsidR="008C3973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授课内容</w:t>
      </w:r>
      <w:r w:rsidRPr="005847CA">
        <w:rPr>
          <w:rFonts w:hint="eastAsia"/>
          <w:b/>
          <w:sz w:val="24"/>
          <w:szCs w:val="24"/>
        </w:rPr>
        <w:t>:</w:t>
      </w:r>
      <w:r w:rsidR="005847CA" w:rsidRPr="005847CA">
        <w:rPr>
          <w:sz w:val="24"/>
          <w:szCs w:val="24"/>
        </w:rPr>
        <w:t xml:space="preserve"> </w:t>
      </w:r>
      <w:r w:rsidR="005847CA" w:rsidRPr="005847CA">
        <w:rPr>
          <w:rFonts w:hint="eastAsia"/>
          <w:sz w:val="24"/>
          <w:szCs w:val="24"/>
        </w:rPr>
        <w:t>《</w:t>
      </w:r>
      <w:r w:rsidR="00E5545E">
        <w:rPr>
          <w:rFonts w:ascii="Calibri" w:eastAsia="宋体" w:hAnsi="Calibri" w:cs="Times New Roman" w:hint="eastAsia"/>
          <w:sz w:val="24"/>
          <w:szCs w:val="24"/>
        </w:rPr>
        <w:t>高级病理生理学</w:t>
      </w:r>
      <w:r w:rsidR="005847CA" w:rsidRPr="005847CA">
        <w:rPr>
          <w:rFonts w:hint="eastAsia"/>
          <w:sz w:val="24"/>
          <w:szCs w:val="24"/>
        </w:rPr>
        <w:t>》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课程力图在经典</w:t>
      </w:r>
      <w:r w:rsidR="00E5545E">
        <w:rPr>
          <w:rFonts w:ascii="Calibri" w:eastAsia="宋体" w:hAnsi="Calibri" w:cs="Times New Roman" w:hint="eastAsia"/>
          <w:sz w:val="24"/>
          <w:szCs w:val="24"/>
        </w:rPr>
        <w:t>病理生理学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的</w:t>
      </w:r>
      <w:r w:rsidR="00D96E83">
        <w:rPr>
          <w:rFonts w:ascii="Calibri" w:eastAsia="宋体" w:hAnsi="Calibri" w:cs="Times New Roman" w:hint="eastAsia"/>
          <w:sz w:val="24"/>
          <w:szCs w:val="24"/>
        </w:rPr>
        <w:t>组织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架构基础上，将</w:t>
      </w:r>
      <w:r w:rsidR="001C439A">
        <w:rPr>
          <w:rFonts w:ascii="Calibri" w:eastAsia="宋体" w:hAnsi="Calibri" w:cs="Times New Roman" w:hint="eastAsia"/>
          <w:sz w:val="24"/>
          <w:szCs w:val="24"/>
        </w:rPr>
        <w:t>介绍精准医学、疾病谱、炎症、代谢综合征、脓毒症</w:t>
      </w:r>
      <w:r w:rsidR="00A45BD1">
        <w:rPr>
          <w:rFonts w:ascii="Calibri" w:eastAsia="宋体" w:hAnsi="Calibri" w:cs="Times New Roman" w:hint="eastAsia"/>
          <w:sz w:val="24"/>
          <w:szCs w:val="24"/>
        </w:rPr>
        <w:t>及感染性休克</w:t>
      </w:r>
      <w:r w:rsidR="001C439A">
        <w:rPr>
          <w:rFonts w:ascii="Calibri" w:eastAsia="宋体" w:hAnsi="Calibri" w:cs="Times New Roman" w:hint="eastAsia"/>
          <w:sz w:val="24"/>
          <w:szCs w:val="24"/>
        </w:rPr>
        <w:t>、血小板异常、哮喘、</w:t>
      </w:r>
      <w:r w:rsidR="00A45BD1">
        <w:rPr>
          <w:rFonts w:ascii="Calibri" w:eastAsia="宋体" w:hAnsi="Calibri" w:cs="Times New Roman" w:hint="eastAsia"/>
          <w:sz w:val="24"/>
          <w:szCs w:val="24"/>
        </w:rPr>
        <w:t>COPD</w:t>
      </w:r>
      <w:r w:rsidR="003F55E6">
        <w:rPr>
          <w:rFonts w:ascii="Calibri" w:eastAsia="宋体" w:hAnsi="Calibri" w:cs="Times New Roman" w:hint="eastAsia"/>
          <w:sz w:val="24"/>
          <w:szCs w:val="24"/>
        </w:rPr>
        <w:t>与间质性肺病</w:t>
      </w:r>
      <w:r w:rsidR="00A45BD1">
        <w:rPr>
          <w:rFonts w:ascii="Calibri" w:eastAsia="宋体" w:hAnsi="Calibri" w:cs="Times New Roman" w:hint="eastAsia"/>
          <w:sz w:val="24"/>
          <w:szCs w:val="24"/>
        </w:rPr>
        <w:t>、</w:t>
      </w:r>
      <w:r w:rsidR="00354080">
        <w:rPr>
          <w:rFonts w:ascii="Calibri" w:eastAsia="宋体" w:hAnsi="Calibri" w:cs="Times New Roman" w:hint="eastAsia"/>
          <w:sz w:val="24"/>
          <w:szCs w:val="24"/>
        </w:rPr>
        <w:t>心力衰竭</w:t>
      </w:r>
      <w:r w:rsidR="001C439A">
        <w:rPr>
          <w:rFonts w:ascii="Calibri" w:eastAsia="宋体" w:hAnsi="Calibri" w:cs="Times New Roman" w:hint="eastAsia"/>
          <w:sz w:val="24"/>
          <w:szCs w:val="24"/>
        </w:rPr>
        <w:t>、肝炎与肝纤维化、肾小球肾炎、脑功能障碍以及多器官功能障碍等在基础</w:t>
      </w:r>
      <w:r w:rsidR="00D96E83">
        <w:rPr>
          <w:rFonts w:ascii="Calibri" w:eastAsia="宋体" w:hAnsi="Calibri" w:cs="Times New Roman" w:hint="eastAsia"/>
          <w:sz w:val="24"/>
          <w:szCs w:val="24"/>
        </w:rPr>
        <w:t>研究</w:t>
      </w:r>
      <w:r w:rsidR="001C439A">
        <w:rPr>
          <w:rFonts w:ascii="Calibri" w:eastAsia="宋体" w:hAnsi="Calibri" w:cs="Times New Roman" w:hint="eastAsia"/>
          <w:sz w:val="24"/>
          <w:szCs w:val="24"/>
        </w:rPr>
        <w:t>与临床诊治方面</w:t>
      </w:r>
      <w:r w:rsidR="00D96E83">
        <w:rPr>
          <w:rFonts w:ascii="Calibri" w:eastAsia="宋体" w:hAnsi="Calibri" w:cs="Times New Roman" w:hint="eastAsia"/>
          <w:sz w:val="24"/>
          <w:szCs w:val="24"/>
        </w:rPr>
        <w:t>的</w:t>
      </w:r>
      <w:r w:rsidR="00A45BD1">
        <w:rPr>
          <w:rFonts w:ascii="Calibri" w:eastAsia="宋体" w:hAnsi="Calibri" w:cs="Times New Roman" w:hint="eastAsia"/>
          <w:sz w:val="24"/>
          <w:szCs w:val="24"/>
        </w:rPr>
        <w:t>最新研究进展、研究热点、并将这些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信息资源有机整合，</w:t>
      </w:r>
      <w:r w:rsidR="00A45BD1">
        <w:rPr>
          <w:rFonts w:hint="eastAsia"/>
          <w:sz w:val="24"/>
          <w:szCs w:val="24"/>
        </w:rPr>
        <w:t>向学生介绍如何运用病理生理学知识理解精准医学与疾病谱</w:t>
      </w:r>
      <w:r w:rsidR="000B5D1D">
        <w:rPr>
          <w:rFonts w:hint="eastAsia"/>
          <w:sz w:val="24"/>
          <w:szCs w:val="24"/>
        </w:rPr>
        <w:t>的概念</w:t>
      </w:r>
      <w:r w:rsidR="00A45BD1">
        <w:rPr>
          <w:rFonts w:hint="eastAsia"/>
          <w:sz w:val="24"/>
          <w:szCs w:val="24"/>
        </w:rPr>
        <w:t>，以及这些疾病发生的原因、机制、功能代谢变化规律、诊断治疗的病理生理学基础，以及如何做好预防</w:t>
      </w:r>
      <w:r w:rsidR="005847CA" w:rsidRPr="005847CA">
        <w:rPr>
          <w:rFonts w:hint="eastAsia"/>
          <w:sz w:val="24"/>
          <w:szCs w:val="24"/>
        </w:rPr>
        <w:t>等理论、知识和技能。教学内容瞄准</w:t>
      </w:r>
      <w:r w:rsidR="00354080">
        <w:rPr>
          <w:rFonts w:hint="eastAsia"/>
          <w:sz w:val="24"/>
          <w:szCs w:val="24"/>
        </w:rPr>
        <w:t>临床的重大及常见疾病</w:t>
      </w:r>
      <w:r w:rsidR="005847CA" w:rsidRPr="005847CA">
        <w:rPr>
          <w:rFonts w:hint="eastAsia"/>
          <w:sz w:val="24"/>
          <w:szCs w:val="24"/>
        </w:rPr>
        <w:t>，通过课程的学习使学生了解</w:t>
      </w:r>
      <w:r w:rsidR="0083239D">
        <w:rPr>
          <w:rFonts w:hint="eastAsia"/>
          <w:sz w:val="24"/>
          <w:szCs w:val="24"/>
        </w:rPr>
        <w:t>这些疾病相关领域的最新研究进展、研究</w:t>
      </w:r>
      <w:r w:rsidR="002960E6">
        <w:rPr>
          <w:rFonts w:hint="eastAsia"/>
          <w:sz w:val="24"/>
          <w:szCs w:val="24"/>
        </w:rPr>
        <w:t>动态</w:t>
      </w:r>
      <w:r w:rsidR="005847CA" w:rsidRPr="005847CA">
        <w:rPr>
          <w:rFonts w:hint="eastAsia"/>
          <w:sz w:val="24"/>
          <w:szCs w:val="24"/>
        </w:rPr>
        <w:t>和信息资源，培</w:t>
      </w:r>
      <w:r w:rsidR="0083239D">
        <w:rPr>
          <w:rFonts w:hint="eastAsia"/>
          <w:sz w:val="24"/>
          <w:szCs w:val="24"/>
        </w:rPr>
        <w:t>养学生提出问题、分析问题和解决问题的能力，提</w:t>
      </w:r>
      <w:r w:rsidR="000B5D1D">
        <w:rPr>
          <w:rFonts w:hint="eastAsia"/>
          <w:sz w:val="24"/>
          <w:szCs w:val="24"/>
        </w:rPr>
        <w:t>高创新性思维</w:t>
      </w:r>
      <w:r w:rsidR="0083239D">
        <w:rPr>
          <w:rFonts w:hint="eastAsia"/>
          <w:sz w:val="24"/>
          <w:szCs w:val="24"/>
        </w:rPr>
        <w:t>和实际分析问题的能力</w:t>
      </w:r>
      <w:r w:rsidR="005847CA" w:rsidRPr="005847CA">
        <w:rPr>
          <w:rFonts w:hint="eastAsia"/>
          <w:sz w:val="24"/>
          <w:szCs w:val="24"/>
        </w:rPr>
        <w:t>。课程采用</w:t>
      </w:r>
      <w:r w:rsidR="005847CA" w:rsidRPr="005847CA">
        <w:rPr>
          <w:sz w:val="24"/>
          <w:szCs w:val="24"/>
        </w:rPr>
        <w:t>专题讲座和</w:t>
      </w:r>
      <w:r w:rsidR="0083239D">
        <w:rPr>
          <w:rFonts w:hint="eastAsia"/>
          <w:sz w:val="24"/>
          <w:szCs w:val="24"/>
        </w:rPr>
        <w:t>案例讨论</w:t>
      </w:r>
      <w:r w:rsidR="005847CA" w:rsidRPr="005847CA">
        <w:rPr>
          <w:sz w:val="24"/>
          <w:szCs w:val="24"/>
        </w:rPr>
        <w:t>形式开展</w:t>
      </w:r>
      <w:r w:rsidR="005847CA" w:rsidRPr="005847CA">
        <w:rPr>
          <w:rFonts w:hint="eastAsia"/>
          <w:sz w:val="24"/>
          <w:szCs w:val="24"/>
        </w:rPr>
        <w:t>。</w:t>
      </w:r>
    </w:p>
    <w:p w:rsidR="008C3973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授课教师</w:t>
      </w:r>
      <w:r w:rsidRPr="005847CA">
        <w:rPr>
          <w:rFonts w:hint="eastAsia"/>
          <w:b/>
          <w:sz w:val="24"/>
          <w:szCs w:val="24"/>
        </w:rPr>
        <w:t>:</w:t>
      </w:r>
      <w:r w:rsidRPr="005847CA">
        <w:rPr>
          <w:rFonts w:hint="eastAsia"/>
          <w:sz w:val="24"/>
          <w:szCs w:val="24"/>
        </w:rPr>
        <w:t xml:space="preserve"> </w:t>
      </w:r>
      <w:r w:rsidR="00A102A5">
        <w:rPr>
          <w:rFonts w:hint="eastAsia"/>
          <w:sz w:val="24"/>
          <w:szCs w:val="24"/>
        </w:rPr>
        <w:t>本课程首席教师</w:t>
      </w:r>
      <w:r w:rsidR="00C32F93">
        <w:rPr>
          <w:rFonts w:hint="eastAsia"/>
          <w:sz w:val="24"/>
          <w:szCs w:val="24"/>
        </w:rPr>
        <w:t>由</w:t>
      </w:r>
      <w:r w:rsidR="0083239D">
        <w:rPr>
          <w:rFonts w:hint="eastAsia"/>
          <w:sz w:val="24"/>
          <w:szCs w:val="24"/>
        </w:rPr>
        <w:t>病理生理学系黄莺教授</w:t>
      </w:r>
      <w:r w:rsidR="00A102A5">
        <w:rPr>
          <w:rFonts w:hint="eastAsia"/>
          <w:sz w:val="24"/>
          <w:szCs w:val="24"/>
        </w:rPr>
        <w:t>承担</w:t>
      </w:r>
      <w:r w:rsidR="005847CA">
        <w:rPr>
          <w:rFonts w:hint="eastAsia"/>
          <w:sz w:val="24"/>
          <w:szCs w:val="24"/>
        </w:rPr>
        <w:t>。</w:t>
      </w:r>
      <w:r w:rsidRPr="005847CA">
        <w:rPr>
          <w:rFonts w:hint="eastAsia"/>
          <w:sz w:val="24"/>
          <w:szCs w:val="24"/>
        </w:rPr>
        <w:t>授课老师</w:t>
      </w:r>
      <w:r w:rsidR="0083239D">
        <w:rPr>
          <w:rFonts w:ascii="Calibri" w:eastAsia="宋体" w:hAnsi="Calibri" w:cs="Times New Roman" w:hint="eastAsia"/>
          <w:sz w:val="24"/>
          <w:szCs w:val="24"/>
        </w:rPr>
        <w:t>由本院陈国强院士领衔、附属医院的临床各科主任以及</w:t>
      </w:r>
      <w:r w:rsidRPr="005847CA">
        <w:rPr>
          <w:rFonts w:ascii="Calibri" w:eastAsia="宋体" w:hAnsi="Calibri" w:cs="Times New Roman" w:hint="eastAsia"/>
          <w:sz w:val="24"/>
          <w:szCs w:val="24"/>
        </w:rPr>
        <w:t>基础医学院</w:t>
      </w:r>
      <w:r w:rsidR="0083239D">
        <w:rPr>
          <w:rFonts w:ascii="Calibri" w:eastAsia="宋体" w:hAnsi="Calibri" w:cs="Times New Roman" w:hint="eastAsia"/>
          <w:sz w:val="24"/>
          <w:szCs w:val="24"/>
        </w:rPr>
        <w:t>的</w:t>
      </w:r>
      <w:r w:rsidRPr="005847CA">
        <w:rPr>
          <w:rFonts w:ascii="Calibri" w:eastAsia="宋体" w:hAnsi="Calibri" w:cs="Times New Roman" w:hint="eastAsia"/>
          <w:sz w:val="24"/>
          <w:szCs w:val="24"/>
        </w:rPr>
        <w:t>PI</w:t>
      </w:r>
      <w:r w:rsidR="0083239D">
        <w:rPr>
          <w:rFonts w:ascii="Calibri" w:eastAsia="宋体" w:hAnsi="Calibri" w:cs="Times New Roman" w:hint="eastAsia"/>
          <w:sz w:val="24"/>
          <w:szCs w:val="24"/>
        </w:rPr>
        <w:t>、</w:t>
      </w:r>
      <w:proofErr w:type="gramStart"/>
      <w:r w:rsidR="0083239D">
        <w:rPr>
          <w:rFonts w:ascii="Calibri" w:eastAsia="宋体" w:hAnsi="Calibri" w:cs="Times New Roman" w:hint="eastAsia"/>
          <w:sz w:val="24"/>
          <w:szCs w:val="24"/>
        </w:rPr>
        <w:t>优青</w:t>
      </w:r>
      <w:r w:rsidR="00A37A33">
        <w:rPr>
          <w:rFonts w:ascii="Calibri" w:eastAsia="宋体" w:hAnsi="Calibri" w:cs="Times New Roman" w:hint="eastAsia"/>
          <w:sz w:val="24"/>
          <w:szCs w:val="24"/>
        </w:rPr>
        <w:t>为</w:t>
      </w:r>
      <w:proofErr w:type="gramEnd"/>
      <w:r w:rsidR="00A37A33">
        <w:rPr>
          <w:rFonts w:ascii="Calibri" w:eastAsia="宋体" w:hAnsi="Calibri" w:cs="Times New Roman" w:hint="eastAsia"/>
          <w:sz w:val="24"/>
          <w:szCs w:val="24"/>
        </w:rPr>
        <w:t>主导的教师组成</w:t>
      </w:r>
      <w:r w:rsidRPr="005847CA">
        <w:rPr>
          <w:rFonts w:ascii="Calibri" w:eastAsia="宋体" w:hAnsi="Calibri" w:cs="Times New Roman" w:hint="eastAsia"/>
          <w:sz w:val="24"/>
          <w:szCs w:val="24"/>
        </w:rPr>
        <w:t>，</w:t>
      </w:r>
      <w:r w:rsidR="00A37A33">
        <w:rPr>
          <w:rFonts w:ascii="Calibri" w:eastAsia="宋体" w:hAnsi="Calibri" w:cs="Times New Roman" w:hint="eastAsia"/>
          <w:sz w:val="24"/>
          <w:szCs w:val="24"/>
        </w:rPr>
        <w:t>这些教师均</w:t>
      </w:r>
      <w:r w:rsidRPr="005847CA">
        <w:rPr>
          <w:rFonts w:hint="eastAsia"/>
          <w:sz w:val="24"/>
          <w:szCs w:val="24"/>
        </w:rPr>
        <w:t>为</w:t>
      </w:r>
      <w:r w:rsidRPr="005847CA">
        <w:rPr>
          <w:rFonts w:ascii="Calibri" w:eastAsia="宋体" w:hAnsi="Calibri" w:cs="Times New Roman" w:hint="eastAsia"/>
          <w:sz w:val="24"/>
          <w:szCs w:val="24"/>
        </w:rPr>
        <w:t>相关领域</w:t>
      </w:r>
      <w:r w:rsidR="00A37A33">
        <w:rPr>
          <w:rFonts w:ascii="Calibri" w:eastAsia="宋体" w:hAnsi="Calibri" w:cs="Times New Roman" w:hint="eastAsia"/>
          <w:sz w:val="24"/>
          <w:szCs w:val="24"/>
        </w:rPr>
        <w:t>的专家</w:t>
      </w:r>
      <w:r w:rsidRPr="005847CA">
        <w:rPr>
          <w:rFonts w:hint="eastAsia"/>
          <w:sz w:val="24"/>
          <w:szCs w:val="24"/>
        </w:rPr>
        <w:t>，具有</w:t>
      </w:r>
      <w:r w:rsidR="00A37A33">
        <w:rPr>
          <w:rFonts w:hint="eastAsia"/>
          <w:sz w:val="24"/>
          <w:szCs w:val="24"/>
        </w:rPr>
        <w:t>相当</w:t>
      </w:r>
      <w:r w:rsidRPr="005847CA">
        <w:rPr>
          <w:rFonts w:hint="eastAsia"/>
          <w:sz w:val="24"/>
          <w:szCs w:val="24"/>
        </w:rPr>
        <w:t>丰富的</w:t>
      </w:r>
      <w:r w:rsidR="00A37A33" w:rsidRPr="005847CA">
        <w:rPr>
          <w:rFonts w:hint="eastAsia"/>
          <w:sz w:val="24"/>
          <w:szCs w:val="24"/>
        </w:rPr>
        <w:t>教学</w:t>
      </w:r>
      <w:r w:rsidRPr="005847CA">
        <w:rPr>
          <w:rFonts w:hint="eastAsia"/>
          <w:sz w:val="24"/>
          <w:szCs w:val="24"/>
        </w:rPr>
        <w:t>和</w:t>
      </w:r>
      <w:r w:rsidR="00A37A33" w:rsidRPr="005847CA">
        <w:rPr>
          <w:rFonts w:hint="eastAsia"/>
          <w:sz w:val="24"/>
          <w:szCs w:val="24"/>
        </w:rPr>
        <w:t>科研</w:t>
      </w:r>
      <w:r w:rsidRPr="005847CA">
        <w:rPr>
          <w:rFonts w:hint="eastAsia"/>
          <w:sz w:val="24"/>
          <w:szCs w:val="24"/>
        </w:rPr>
        <w:t>经验</w:t>
      </w:r>
      <w:r w:rsidRPr="005847CA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8C3973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课时学分</w:t>
      </w:r>
      <w:r w:rsidRPr="005847CA">
        <w:rPr>
          <w:rFonts w:hint="eastAsia"/>
          <w:b/>
          <w:sz w:val="24"/>
          <w:szCs w:val="24"/>
        </w:rPr>
        <w:t>:</w:t>
      </w:r>
      <w:r w:rsidRPr="005847CA">
        <w:rPr>
          <w:rFonts w:hint="eastAsia"/>
          <w:sz w:val="24"/>
          <w:szCs w:val="24"/>
        </w:rPr>
        <w:t xml:space="preserve"> </w:t>
      </w:r>
      <w:r w:rsidRPr="003442AC">
        <w:rPr>
          <w:rFonts w:hint="eastAsia"/>
          <w:sz w:val="24"/>
          <w:szCs w:val="24"/>
        </w:rPr>
        <w:t>本课程</w:t>
      </w:r>
      <w:r w:rsidR="003442AC" w:rsidRPr="003442AC">
        <w:rPr>
          <w:rFonts w:hint="eastAsia"/>
          <w:sz w:val="24"/>
          <w:szCs w:val="24"/>
        </w:rPr>
        <w:t>36</w:t>
      </w:r>
      <w:r w:rsidR="00375EB4" w:rsidRPr="003442AC">
        <w:rPr>
          <w:rFonts w:hint="eastAsia"/>
          <w:sz w:val="24"/>
          <w:szCs w:val="24"/>
        </w:rPr>
        <w:t>学时，</w:t>
      </w:r>
      <w:r w:rsidR="00375EB4" w:rsidRPr="003442AC">
        <w:rPr>
          <w:rFonts w:hint="eastAsia"/>
          <w:sz w:val="24"/>
          <w:szCs w:val="24"/>
        </w:rPr>
        <w:t>2</w:t>
      </w:r>
      <w:r w:rsidR="00375EB4" w:rsidRPr="003442AC">
        <w:rPr>
          <w:rFonts w:hint="eastAsia"/>
          <w:sz w:val="24"/>
          <w:szCs w:val="24"/>
        </w:rPr>
        <w:t>学分</w:t>
      </w:r>
      <w:r w:rsidR="00375EB4">
        <w:rPr>
          <w:rFonts w:hint="eastAsia"/>
          <w:sz w:val="24"/>
          <w:szCs w:val="24"/>
        </w:rPr>
        <w:t>。</w:t>
      </w:r>
      <w:r w:rsidR="00375EB4">
        <w:rPr>
          <w:sz w:val="24"/>
          <w:szCs w:val="24"/>
        </w:rPr>
        <w:t>通常</w:t>
      </w:r>
      <w:r w:rsidRPr="005847CA">
        <w:rPr>
          <w:rFonts w:hint="eastAsia"/>
          <w:sz w:val="24"/>
          <w:szCs w:val="24"/>
        </w:rPr>
        <w:t>每年</w:t>
      </w:r>
      <w:r w:rsidRPr="005847CA">
        <w:rPr>
          <w:rFonts w:hint="eastAsia"/>
          <w:sz w:val="24"/>
          <w:szCs w:val="24"/>
        </w:rPr>
        <w:t>9-12</w:t>
      </w:r>
      <w:r w:rsidRPr="005847CA">
        <w:rPr>
          <w:rFonts w:hint="eastAsia"/>
          <w:sz w:val="24"/>
          <w:szCs w:val="24"/>
        </w:rPr>
        <w:t>月授课，每周一次。</w:t>
      </w:r>
    </w:p>
    <w:p w:rsidR="008C3973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考核方式</w:t>
      </w:r>
      <w:r w:rsidRPr="005847CA">
        <w:rPr>
          <w:rFonts w:hint="eastAsia"/>
          <w:b/>
          <w:sz w:val="24"/>
          <w:szCs w:val="24"/>
        </w:rPr>
        <w:t xml:space="preserve">: </w:t>
      </w:r>
      <w:r w:rsidRPr="005847CA">
        <w:rPr>
          <w:rFonts w:ascii="宋体" w:hAnsi="宋体" w:hint="eastAsia"/>
          <w:sz w:val="24"/>
          <w:szCs w:val="24"/>
        </w:rPr>
        <w:t>通过开放式考核方式，客观、公正</w:t>
      </w:r>
      <w:r w:rsidR="00EA0AD0">
        <w:rPr>
          <w:rFonts w:ascii="宋体" w:hAnsi="宋体" w:hint="eastAsia"/>
          <w:sz w:val="24"/>
          <w:szCs w:val="24"/>
        </w:rPr>
        <w:t>地</w:t>
      </w:r>
      <w:bookmarkStart w:id="0" w:name="_GoBack"/>
      <w:bookmarkEnd w:id="0"/>
      <w:r w:rsidRPr="005847CA">
        <w:rPr>
          <w:rFonts w:ascii="宋体" w:hAnsi="宋体" w:hint="eastAsia"/>
          <w:sz w:val="24"/>
          <w:szCs w:val="24"/>
        </w:rPr>
        <w:t>评价学生基础理论、基本知识</w:t>
      </w:r>
      <w:r w:rsidR="009B5D73">
        <w:rPr>
          <w:rFonts w:ascii="宋体" w:hAnsi="宋体" w:hint="eastAsia"/>
          <w:sz w:val="24"/>
          <w:szCs w:val="24"/>
        </w:rPr>
        <w:t>、</w:t>
      </w:r>
      <w:r w:rsidRPr="005847CA">
        <w:rPr>
          <w:rFonts w:ascii="宋体" w:hAnsi="宋体" w:hint="eastAsia"/>
          <w:sz w:val="24"/>
          <w:szCs w:val="24"/>
        </w:rPr>
        <w:t>基本技能</w:t>
      </w:r>
      <w:r w:rsidR="009B5D73" w:rsidRPr="005847CA">
        <w:rPr>
          <w:rFonts w:ascii="宋体" w:hAnsi="宋体" w:hint="eastAsia"/>
          <w:sz w:val="24"/>
          <w:szCs w:val="24"/>
        </w:rPr>
        <w:t>和专业外语</w:t>
      </w:r>
      <w:r w:rsidRPr="005847CA">
        <w:rPr>
          <w:rFonts w:ascii="宋体" w:hAnsi="宋体" w:hint="eastAsia"/>
          <w:sz w:val="24"/>
          <w:szCs w:val="24"/>
        </w:rPr>
        <w:t>的掌握情况</w:t>
      </w:r>
      <w:r w:rsidR="009B5D73" w:rsidRPr="005847CA">
        <w:rPr>
          <w:rFonts w:ascii="宋体" w:hAnsi="宋体" w:hint="eastAsia"/>
          <w:sz w:val="24"/>
          <w:szCs w:val="24"/>
        </w:rPr>
        <w:t>和灵活应用的能力</w:t>
      </w:r>
      <w:r w:rsidR="00365CF7">
        <w:rPr>
          <w:rFonts w:ascii="宋体" w:hAnsi="宋体" w:hint="eastAsia"/>
          <w:sz w:val="24"/>
          <w:szCs w:val="24"/>
        </w:rPr>
        <w:t>。</w:t>
      </w:r>
      <w:r w:rsidRPr="005847CA">
        <w:rPr>
          <w:rFonts w:ascii="宋体" w:hAnsi="宋体" w:hint="eastAsia"/>
          <w:sz w:val="24"/>
          <w:szCs w:val="24"/>
        </w:rPr>
        <w:t>成绩包括</w:t>
      </w:r>
      <w:r w:rsidR="001272F1">
        <w:rPr>
          <w:rFonts w:ascii="宋体" w:hAnsi="宋体" w:hint="eastAsia"/>
          <w:sz w:val="24"/>
          <w:szCs w:val="24"/>
        </w:rPr>
        <w:t>两次案例讨论</w:t>
      </w:r>
      <w:r w:rsidRPr="005847CA">
        <w:rPr>
          <w:rFonts w:ascii="宋体" w:hAnsi="宋体" w:hint="eastAsia"/>
          <w:sz w:val="24"/>
          <w:szCs w:val="24"/>
        </w:rPr>
        <w:t>成绩（占40%）和期末开卷考试（占60%）。</w:t>
      </w:r>
    </w:p>
    <w:sectPr w:rsidR="008C3973" w:rsidRPr="005847CA" w:rsidSect="002A63E8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DD" w:rsidRDefault="001B0BDD" w:rsidP="00B02AB0">
      <w:r>
        <w:separator/>
      </w:r>
    </w:p>
  </w:endnote>
  <w:endnote w:type="continuationSeparator" w:id="0">
    <w:p w:rsidR="001B0BDD" w:rsidRDefault="001B0BDD" w:rsidP="00B0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DD" w:rsidRDefault="001B0BDD" w:rsidP="00B02AB0">
      <w:r>
        <w:separator/>
      </w:r>
    </w:p>
  </w:footnote>
  <w:footnote w:type="continuationSeparator" w:id="0">
    <w:p w:rsidR="001B0BDD" w:rsidRDefault="001B0BDD" w:rsidP="00B0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AB0"/>
    <w:rsid w:val="000308E8"/>
    <w:rsid w:val="0006271C"/>
    <w:rsid w:val="000B5D1D"/>
    <w:rsid w:val="000E136D"/>
    <w:rsid w:val="001272F1"/>
    <w:rsid w:val="00173E14"/>
    <w:rsid w:val="001B0BDD"/>
    <w:rsid w:val="001C439A"/>
    <w:rsid w:val="002960E6"/>
    <w:rsid w:val="002A63E8"/>
    <w:rsid w:val="002F45CE"/>
    <w:rsid w:val="0032357B"/>
    <w:rsid w:val="003442AC"/>
    <w:rsid w:val="00354080"/>
    <w:rsid w:val="00365CF7"/>
    <w:rsid w:val="00375EB4"/>
    <w:rsid w:val="003F55E6"/>
    <w:rsid w:val="00424AEB"/>
    <w:rsid w:val="00473135"/>
    <w:rsid w:val="004F79A9"/>
    <w:rsid w:val="005847CA"/>
    <w:rsid w:val="00585E06"/>
    <w:rsid w:val="00674863"/>
    <w:rsid w:val="006D0590"/>
    <w:rsid w:val="006F2E8E"/>
    <w:rsid w:val="0072733F"/>
    <w:rsid w:val="007742A9"/>
    <w:rsid w:val="007F1ED9"/>
    <w:rsid w:val="0083239D"/>
    <w:rsid w:val="008327CA"/>
    <w:rsid w:val="00861049"/>
    <w:rsid w:val="008C3973"/>
    <w:rsid w:val="00917D83"/>
    <w:rsid w:val="00933233"/>
    <w:rsid w:val="009A1A48"/>
    <w:rsid w:val="009B5D73"/>
    <w:rsid w:val="009E18C5"/>
    <w:rsid w:val="00A102A5"/>
    <w:rsid w:val="00A37A33"/>
    <w:rsid w:val="00A45BD1"/>
    <w:rsid w:val="00A93BDB"/>
    <w:rsid w:val="00AA29EA"/>
    <w:rsid w:val="00B02AB0"/>
    <w:rsid w:val="00B364E0"/>
    <w:rsid w:val="00B742EF"/>
    <w:rsid w:val="00B760AD"/>
    <w:rsid w:val="00BD0593"/>
    <w:rsid w:val="00C32F93"/>
    <w:rsid w:val="00CD7F79"/>
    <w:rsid w:val="00D437C8"/>
    <w:rsid w:val="00D935CC"/>
    <w:rsid w:val="00D96E83"/>
    <w:rsid w:val="00E5545E"/>
    <w:rsid w:val="00E612C8"/>
    <w:rsid w:val="00E650BC"/>
    <w:rsid w:val="00EA0AD0"/>
    <w:rsid w:val="00EA140D"/>
    <w:rsid w:val="00EB75A3"/>
    <w:rsid w:val="00ED44E3"/>
    <w:rsid w:val="00F25A8C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AB0"/>
    <w:rPr>
      <w:sz w:val="18"/>
      <w:szCs w:val="18"/>
    </w:rPr>
  </w:style>
  <w:style w:type="table" w:styleId="a5">
    <w:name w:val="Table Grid"/>
    <w:basedOn w:val="a1"/>
    <w:uiPriority w:val="59"/>
    <w:rsid w:val="00B02A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35</cp:revision>
  <dcterms:created xsi:type="dcterms:W3CDTF">2019-01-18T04:54:00Z</dcterms:created>
  <dcterms:modified xsi:type="dcterms:W3CDTF">2019-04-30T09:44:00Z</dcterms:modified>
</cp:coreProperties>
</file>