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Chars="0"/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bookmarkStart w:id="0" w:name="_Toc18085"/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同等学力人员报名系统操作手册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微软雅黑 Light" w:hAnsi="微软雅黑 Light" w:eastAsia="微软雅黑 Light"/>
          <w:b/>
          <w:color w:val="7F7F7F" w:themeColor="background1" w:themeShade="80"/>
          <w:sz w:val="18"/>
          <w:szCs w:val="6"/>
        </w:rPr>
        <w:t>注：请使用Chrome、EDGE、FireFox或360等主流浏览器</w:t>
      </w:r>
      <w:bookmarkStart w:id="5" w:name="_GoBack"/>
      <w:bookmarkEnd w:id="5"/>
      <w:r>
        <w:rPr>
          <w:rFonts w:hint="eastAsia" w:ascii="微软雅黑 Light" w:hAnsi="微软雅黑 Light" w:eastAsia="微软雅黑 Light"/>
          <w:b/>
          <w:color w:val="7F7F7F" w:themeColor="background1" w:themeShade="80"/>
          <w:sz w:val="18"/>
          <w:szCs w:val="6"/>
        </w:rPr>
        <w:t>访问系统，推荐使用Chrome浏览器。</w:t>
      </w:r>
    </w:p>
    <w:p>
      <w:pPr>
        <w:pStyle w:val="2"/>
        <w:numPr>
          <w:ilvl w:val="0"/>
          <w:numId w:val="1"/>
        </w:numPr>
        <w:rPr>
          <w:rFonts w:ascii="微软雅黑 Light" w:hAnsi="微软雅黑 Light" w:eastAsia="微软雅黑 Light"/>
        </w:rPr>
      </w:pPr>
      <w:r>
        <w:rPr>
          <w:rFonts w:hint="eastAsia" w:ascii="微软雅黑 Light" w:hAnsi="微软雅黑 Light" w:eastAsia="微软雅黑 Light"/>
        </w:rPr>
        <w:t>注册账号</w:t>
      </w:r>
      <w:bookmarkEnd w:id="0"/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申请人访问：</w:t>
      </w:r>
      <w:r>
        <w:fldChar w:fldCharType="begin"/>
      </w:r>
      <w:r>
        <w:instrText xml:space="preserve"> HYPERLINK "https://yjs.shsmu.edu.cn" </w:instrText>
      </w:r>
      <w:r>
        <w:fldChar w:fldCharType="separate"/>
      </w:r>
      <w:r>
        <w:rPr>
          <w:rStyle w:val="6"/>
          <w:rFonts w:hint="eastAsia" w:ascii="微软雅黑" w:hAnsi="微软雅黑" w:eastAsia="微软雅黑"/>
        </w:rPr>
        <w:t>https://yjs.shsmu.edu.cn</w:t>
      </w:r>
      <w:r>
        <w:rPr>
          <w:rStyle w:val="6"/>
          <w:rFonts w:hint="eastAsia"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，点击“</w:t>
      </w:r>
      <w:r>
        <w:rPr>
          <w:rFonts w:hint="eastAsia" w:ascii="微软雅黑" w:hAnsi="微软雅黑" w:eastAsia="微软雅黑"/>
          <w:lang w:val="en-US" w:eastAsia="zh-CN"/>
        </w:rPr>
        <w:t>同等学力</w:t>
      </w:r>
      <w:r>
        <w:rPr>
          <w:rFonts w:hint="eastAsia" w:ascii="微软雅黑" w:hAnsi="微软雅黑" w:eastAsia="微软雅黑"/>
        </w:rPr>
        <w:t>”图标后，点击“</w:t>
      </w:r>
      <w:r>
        <w:fldChar w:fldCharType="begin"/>
      </w:r>
      <w:r>
        <w:instrText xml:space="preserve"> HYPERLINK "https://yjs.shsmu.edu.cn/account/ndzs/register" </w:instrText>
      </w:r>
      <w:r>
        <w:fldChar w:fldCharType="separate"/>
      </w:r>
      <w:r>
        <w:rPr>
          <w:rStyle w:val="6"/>
          <w:rFonts w:hint="eastAsia" w:ascii="微软雅黑" w:hAnsi="微软雅黑" w:eastAsia="微软雅黑"/>
        </w:rPr>
        <w:t>注册</w:t>
      </w:r>
      <w:r>
        <w:rPr>
          <w:rStyle w:val="6"/>
          <w:rFonts w:hint="eastAsia"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”，按要求填写真实信息，获取在</w:t>
      </w:r>
      <w:r>
        <w:rPr>
          <w:rFonts w:hint="eastAsia" w:ascii="微软雅黑" w:hAnsi="微软雅黑" w:eastAsia="微软雅黑"/>
          <w:lang w:val="en-US" w:eastAsia="zh-CN"/>
        </w:rPr>
        <w:t>同等学力</w:t>
      </w:r>
      <w:r>
        <w:rPr>
          <w:rFonts w:hint="eastAsia" w:ascii="微软雅黑" w:hAnsi="微软雅黑" w:eastAsia="微软雅黑"/>
        </w:rPr>
        <w:t>报名服务系统中的账号。</w:t>
      </w:r>
    </w:p>
    <w:p>
      <w:pPr>
        <w:pStyle w:val="2"/>
        <w:numPr>
          <w:ilvl w:val="0"/>
          <w:numId w:val="1"/>
        </w:numPr>
        <w:rPr>
          <w:rFonts w:ascii="微软雅黑 Light" w:hAnsi="微软雅黑 Light" w:eastAsia="微软雅黑 Light"/>
        </w:rPr>
      </w:pPr>
      <w:bookmarkStart w:id="1" w:name="_Toc6690"/>
      <w:r>
        <w:rPr>
          <w:rFonts w:hint="eastAsia" w:ascii="微软雅黑 Light" w:hAnsi="微软雅黑 Light" w:eastAsia="微软雅黑 Light"/>
        </w:rPr>
        <w:t>登录系统</w:t>
      </w:r>
      <w:bookmarkEnd w:id="1"/>
    </w:p>
    <w:p>
      <w:pPr>
        <w:ind w:firstLine="42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申请人访问：</w:t>
      </w:r>
      <w:r>
        <w:fldChar w:fldCharType="begin"/>
      </w:r>
      <w:r>
        <w:instrText xml:space="preserve"> HYPERLINK "https://yjs.shsmu.edu.cn/xly/login" </w:instrText>
      </w:r>
      <w:r>
        <w:fldChar w:fldCharType="separate"/>
      </w:r>
      <w:r>
        <w:rPr>
          <w:rStyle w:val="6"/>
          <w:rFonts w:hint="eastAsia" w:ascii="微软雅黑" w:hAnsi="微软雅黑" w:eastAsia="微软雅黑"/>
        </w:rPr>
        <w:t>https://yjs.shsmu.edu.cn/</w:t>
      </w:r>
      <w:r>
        <w:rPr>
          <w:rStyle w:val="6"/>
          <w:rFonts w:hint="eastAsia" w:ascii="微软雅黑" w:hAnsi="微软雅黑" w:eastAsia="微软雅黑"/>
          <w:lang w:val="en-US" w:eastAsia="zh-CN"/>
        </w:rPr>
        <w:t>tdxl</w:t>
      </w:r>
      <w:r>
        <w:rPr>
          <w:rStyle w:val="6"/>
          <w:rFonts w:hint="eastAsia" w:ascii="微软雅黑" w:hAnsi="微软雅黑" w:eastAsia="微软雅黑"/>
        </w:rPr>
        <w:t>/login</w:t>
      </w:r>
      <w:r>
        <w:rPr>
          <w:rStyle w:val="6"/>
          <w:rFonts w:hint="eastAsia"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，输入上述注册手机号和密码进行登录。登录成功后进入</w:t>
      </w:r>
      <w:r>
        <w:rPr>
          <w:rFonts w:hint="eastAsia" w:ascii="微软雅黑" w:hAnsi="微软雅黑" w:eastAsia="微软雅黑"/>
          <w:lang w:val="en-US" w:eastAsia="zh-CN"/>
        </w:rPr>
        <w:t>同等学力</w:t>
      </w:r>
      <w:r>
        <w:rPr>
          <w:rFonts w:hint="eastAsia" w:ascii="微软雅黑" w:hAnsi="微软雅黑" w:eastAsia="微软雅黑"/>
        </w:rPr>
        <w:t>报名服务系统首页，可以查看</w:t>
      </w:r>
      <w:r>
        <w:rPr>
          <w:rFonts w:hint="eastAsia" w:ascii="微软雅黑" w:hAnsi="微软雅黑" w:eastAsia="微软雅黑"/>
          <w:lang w:val="en-US" w:eastAsia="zh-CN"/>
        </w:rPr>
        <w:t>硕士、博士报名端口信息</w:t>
      </w:r>
      <w:r>
        <w:rPr>
          <w:rFonts w:hint="eastAsia" w:ascii="微软雅黑" w:hAnsi="微软雅黑" w:eastAsia="微软雅黑"/>
        </w:rPr>
        <w:t>，如图2-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。点击</w:t>
      </w:r>
      <w:r>
        <w:rPr>
          <w:rFonts w:hint="eastAsia" w:ascii="微软雅黑" w:hAnsi="微软雅黑" w:eastAsia="微软雅黑"/>
          <w:lang w:val="en-US" w:eastAsia="zh-CN"/>
        </w:rPr>
        <w:t>相应端口</w:t>
      </w:r>
      <w:r>
        <w:rPr>
          <w:rFonts w:hint="eastAsia" w:ascii="微软雅黑" w:hAnsi="微软雅黑" w:eastAsia="微软雅黑"/>
        </w:rPr>
        <w:t>进入报名通道。</w:t>
      </w:r>
    </w:p>
    <w:p>
      <w:pPr>
        <w:rPr>
          <w:rFonts w:hint="eastAsia" w:ascii="微软雅黑" w:hAnsi="微软雅黑" w:eastAsia="微软雅黑"/>
        </w:rPr>
      </w:pPr>
      <w:r>
        <w:drawing>
          <wp:inline distT="0" distB="0" distL="114300" distR="114300">
            <wp:extent cx="5360670" cy="2618105"/>
            <wp:effectExtent l="0" t="0" r="11430" b="10795"/>
            <wp:docPr id="4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</w:rPr>
      </w:pPr>
      <w:r>
        <w:drawing>
          <wp:inline distT="0" distB="0" distL="114300" distR="114300">
            <wp:extent cx="635" cy="0"/>
            <wp:effectExtent l="0" t="0" r="0" b="0"/>
            <wp:docPr id="5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 w:ascii="微软雅黑" w:hAnsi="微软雅黑" w:eastAsia="微软雅黑"/>
        </w:rPr>
        <w:t>图2-</w:t>
      </w:r>
      <w:r>
        <w:rPr>
          <w:rFonts w:ascii="微软雅黑" w:hAnsi="微软雅黑" w:eastAsia="微软雅黑"/>
        </w:rPr>
        <w:t>1</w:t>
      </w:r>
    </w:p>
    <w:p>
      <w:pPr>
        <w:pStyle w:val="2"/>
        <w:numPr>
          <w:ilvl w:val="0"/>
          <w:numId w:val="1"/>
        </w:numPr>
        <w:rPr>
          <w:rFonts w:ascii="微软雅黑 Light" w:hAnsi="微软雅黑 Light" w:eastAsia="微软雅黑 Light"/>
        </w:rPr>
      </w:pPr>
      <w:bookmarkStart w:id="2" w:name="_Toc9289"/>
      <w:r>
        <w:rPr>
          <w:rFonts w:hint="eastAsia" w:ascii="微软雅黑 Light" w:hAnsi="微软雅黑 Light" w:eastAsia="微软雅黑 Light"/>
        </w:rPr>
        <w:t>报名环节</w:t>
      </w:r>
      <w:bookmarkEnd w:id="2"/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以“</w:t>
      </w:r>
      <w:r>
        <w:rPr>
          <w:rFonts w:hint="eastAsia" w:ascii="微软雅黑" w:hAnsi="微软雅黑" w:eastAsia="微软雅黑"/>
          <w:lang w:val="en-US" w:eastAsia="zh-CN"/>
        </w:rPr>
        <w:t>硕士</w:t>
      </w:r>
      <w:r>
        <w:rPr>
          <w:rFonts w:hint="eastAsia" w:ascii="微软雅黑" w:hAnsi="微软雅黑" w:eastAsia="微软雅黑"/>
        </w:rPr>
        <w:t>”</w:t>
      </w:r>
      <w:r>
        <w:rPr>
          <w:rFonts w:hint="eastAsia" w:ascii="微软雅黑" w:hAnsi="微软雅黑" w:eastAsia="微软雅黑"/>
          <w:lang w:val="en-US" w:eastAsia="zh-CN"/>
        </w:rPr>
        <w:t>报名端口</w:t>
      </w:r>
      <w:r>
        <w:rPr>
          <w:rFonts w:hint="eastAsia" w:ascii="微软雅黑" w:hAnsi="微软雅黑" w:eastAsia="微软雅黑"/>
        </w:rPr>
        <w:t>为例，点击后进入该报名通道，按申请流程分为五个菜单，如图3-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。</w:t>
      </w:r>
    </w:p>
    <w:p/>
    <w:p/>
    <w:p>
      <w:r>
        <w:drawing>
          <wp:inline distT="0" distB="0" distL="114300" distR="114300">
            <wp:extent cx="5270500" cy="1179830"/>
            <wp:effectExtent l="0" t="0" r="6350" b="1270"/>
            <wp:docPr id="4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图3-</w:t>
      </w:r>
      <w:r>
        <w:rPr>
          <w:rFonts w:ascii="微软雅黑" w:hAnsi="微软雅黑" w:eastAsia="微软雅黑"/>
        </w:rPr>
        <w:t>1</w:t>
      </w:r>
    </w:p>
    <w:p>
      <w:pPr>
        <w:ind w:firstLine="42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报名环节如图3-</w:t>
      </w: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（该图可在“填写报名表”菜单下的“填写帮助”中查看到 ），当完成报名环节后，可在“确认提交”菜单下导出报名登记表。</w:t>
      </w:r>
    </w:p>
    <w:p>
      <w:pPr>
        <w:widowControl/>
        <w:jc w:val="left"/>
      </w:pPr>
    </w:p>
    <w:p>
      <w:pPr>
        <w:widowControl/>
        <w:jc w:val="left"/>
      </w:pPr>
      <w:r>
        <w:drawing>
          <wp:inline distT="0" distB="0" distL="114300" distR="114300">
            <wp:extent cx="5269230" cy="3308985"/>
            <wp:effectExtent l="0" t="0" r="7620" b="5715"/>
            <wp:docPr id="4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图3-</w:t>
      </w:r>
      <w:r>
        <w:rPr>
          <w:rFonts w:ascii="微软雅黑" w:hAnsi="微软雅黑" w:eastAsia="微软雅黑"/>
        </w:rPr>
        <w:t>2</w:t>
      </w:r>
    </w:p>
    <w:p>
      <w:pPr>
        <w:pStyle w:val="2"/>
        <w:numPr>
          <w:ilvl w:val="0"/>
          <w:numId w:val="1"/>
        </w:numPr>
        <w:rPr>
          <w:rFonts w:ascii="微软雅黑 Light" w:hAnsi="微软雅黑 Light" w:eastAsia="微软雅黑 Light"/>
        </w:rPr>
      </w:pPr>
      <w:bookmarkStart w:id="3" w:name="_Toc27310"/>
      <w:r>
        <w:rPr>
          <w:rFonts w:hint="eastAsia" w:ascii="微软雅黑 Light" w:hAnsi="微软雅黑 Light" w:eastAsia="微软雅黑 Light"/>
        </w:rPr>
        <w:t>查看</w:t>
      </w:r>
      <w:r>
        <w:rPr>
          <w:rFonts w:hint="eastAsia" w:ascii="微软雅黑 Light" w:hAnsi="微软雅黑 Light" w:eastAsia="微软雅黑 Light"/>
          <w:lang w:val="en-US" w:eastAsia="zh-CN"/>
        </w:rPr>
        <w:t>材料审核</w:t>
      </w:r>
      <w:r>
        <w:rPr>
          <w:rFonts w:hint="eastAsia" w:ascii="微软雅黑 Light" w:hAnsi="微软雅黑 Light" w:eastAsia="微软雅黑 Light"/>
        </w:rPr>
        <w:t>结果</w:t>
      </w:r>
      <w:bookmarkEnd w:id="3"/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</w:t>
      </w:r>
      <w:r>
        <w:rPr>
          <w:rFonts w:hint="eastAsia" w:ascii="微软雅黑" w:hAnsi="微软雅黑" w:eastAsia="微软雅黑"/>
          <w:lang w:val="en-US" w:eastAsia="zh-CN"/>
        </w:rPr>
        <w:t>研究生院</w:t>
      </w:r>
      <w:r>
        <w:rPr>
          <w:rFonts w:hint="eastAsia" w:ascii="微软雅黑" w:hAnsi="微软雅黑" w:eastAsia="微软雅黑"/>
        </w:rPr>
        <w:t>发布了</w:t>
      </w:r>
      <w:r>
        <w:rPr>
          <w:rFonts w:hint="eastAsia" w:ascii="微软雅黑" w:hAnsi="微软雅黑" w:eastAsia="微软雅黑"/>
          <w:lang w:val="en-US" w:eastAsia="zh-CN"/>
        </w:rPr>
        <w:t>材料审核</w:t>
      </w:r>
      <w:r>
        <w:rPr>
          <w:rFonts w:hint="eastAsia" w:ascii="微软雅黑" w:hAnsi="微软雅黑" w:eastAsia="微软雅黑"/>
        </w:rPr>
        <w:t>结果后，可在该页面下查看</w:t>
      </w:r>
      <w:r>
        <w:rPr>
          <w:rFonts w:hint="eastAsia" w:ascii="微软雅黑" w:hAnsi="微软雅黑" w:eastAsia="微软雅黑"/>
          <w:lang w:val="en-US" w:eastAsia="zh-CN"/>
        </w:rPr>
        <w:t>材料审核</w:t>
      </w:r>
      <w:r>
        <w:rPr>
          <w:rFonts w:hint="eastAsia" w:ascii="微软雅黑" w:hAnsi="微软雅黑" w:eastAsia="微软雅黑"/>
        </w:rPr>
        <w:t>结果（</w:t>
      </w:r>
      <w:r>
        <w:rPr>
          <w:rFonts w:hint="eastAsia" w:ascii="微软雅黑" w:hAnsi="微软雅黑" w:eastAsia="微软雅黑"/>
          <w:lang w:val="en-US" w:eastAsia="zh-CN"/>
        </w:rPr>
        <w:t>进入复试</w:t>
      </w:r>
      <w:r>
        <w:rPr>
          <w:rFonts w:hint="eastAsia" w:ascii="微软雅黑" w:hAnsi="微软雅黑" w:eastAsia="微软雅黑"/>
        </w:rPr>
        <w:t>/未</w:t>
      </w:r>
      <w:r>
        <w:rPr>
          <w:rFonts w:hint="eastAsia" w:ascii="微软雅黑" w:hAnsi="微软雅黑" w:eastAsia="微软雅黑"/>
          <w:lang w:val="en-US" w:eastAsia="zh-CN"/>
        </w:rPr>
        <w:t>进入复试</w:t>
      </w:r>
      <w:r>
        <w:rPr>
          <w:rFonts w:hint="eastAsia" w:ascii="微软雅黑" w:hAnsi="微软雅黑" w:eastAsia="微软雅黑"/>
        </w:rPr>
        <w:t>）。如图4-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。</w:t>
      </w:r>
    </w:p>
    <w:p>
      <w:pPr>
        <w:ind w:firstLine="420"/>
        <w:rPr>
          <w:rFonts w:ascii="微软雅黑" w:hAnsi="微软雅黑" w:eastAsia="微软雅黑"/>
        </w:rPr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3675" cy="2317750"/>
            <wp:effectExtent l="0" t="0" r="3175" b="6350"/>
            <wp:docPr id="4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图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-</w:t>
      </w:r>
      <w:r>
        <w:rPr>
          <w:rFonts w:ascii="微软雅黑" w:hAnsi="微软雅黑" w:eastAsia="微软雅黑"/>
        </w:rPr>
        <w:t>1</w:t>
      </w:r>
    </w:p>
    <w:p>
      <w:pPr>
        <w:pStyle w:val="2"/>
        <w:numPr>
          <w:ilvl w:val="0"/>
          <w:numId w:val="1"/>
        </w:numPr>
        <w:rPr>
          <w:rFonts w:ascii="微软雅黑 Light" w:hAnsi="微软雅黑 Light" w:eastAsia="微软雅黑 Light"/>
        </w:rPr>
      </w:pPr>
      <w:bookmarkStart w:id="4" w:name="_Toc20706"/>
      <w:r>
        <w:rPr>
          <w:rFonts w:hint="eastAsia" w:ascii="微软雅黑 Light" w:hAnsi="微软雅黑 Light" w:eastAsia="微软雅黑 Light"/>
        </w:rPr>
        <w:t>查看</w:t>
      </w:r>
      <w:r>
        <w:rPr>
          <w:rFonts w:hint="eastAsia" w:ascii="微软雅黑 Light" w:hAnsi="微软雅黑 Light" w:eastAsia="微软雅黑 Light"/>
          <w:lang w:val="en-US" w:eastAsia="zh-CN"/>
        </w:rPr>
        <w:t>拟录取</w:t>
      </w:r>
      <w:r>
        <w:rPr>
          <w:rFonts w:hint="eastAsia" w:ascii="微软雅黑 Light" w:hAnsi="微软雅黑 Light" w:eastAsia="微软雅黑 Light"/>
        </w:rPr>
        <w:t>结果</w:t>
      </w:r>
      <w:bookmarkEnd w:id="4"/>
    </w:p>
    <w:p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</w:t>
      </w:r>
      <w:r>
        <w:rPr>
          <w:rFonts w:hint="eastAsia" w:ascii="微软雅黑" w:hAnsi="微软雅黑" w:eastAsia="微软雅黑"/>
          <w:lang w:val="en-US" w:eastAsia="zh-CN"/>
        </w:rPr>
        <w:t>研究生院</w:t>
      </w:r>
      <w:r>
        <w:rPr>
          <w:rFonts w:hint="eastAsia" w:ascii="微软雅黑" w:hAnsi="微软雅黑" w:eastAsia="微软雅黑"/>
        </w:rPr>
        <w:t>发布了</w:t>
      </w:r>
      <w:r>
        <w:rPr>
          <w:rFonts w:hint="eastAsia" w:ascii="微软雅黑" w:hAnsi="微软雅黑" w:eastAsia="微软雅黑"/>
          <w:lang w:val="en-US" w:eastAsia="zh-CN"/>
        </w:rPr>
        <w:t>拟录取</w:t>
      </w:r>
      <w:r>
        <w:rPr>
          <w:rFonts w:hint="eastAsia" w:ascii="微软雅黑" w:hAnsi="微软雅黑" w:eastAsia="微软雅黑"/>
        </w:rPr>
        <w:t>结果后，可在该页面下查看</w:t>
      </w:r>
      <w:r>
        <w:rPr>
          <w:rFonts w:hint="eastAsia" w:ascii="微软雅黑" w:hAnsi="微软雅黑" w:eastAsia="微软雅黑"/>
          <w:lang w:val="en-US" w:eastAsia="zh-CN"/>
        </w:rPr>
        <w:t>拟录取</w:t>
      </w:r>
      <w:r>
        <w:rPr>
          <w:rFonts w:hint="eastAsia" w:ascii="微软雅黑" w:hAnsi="微软雅黑" w:eastAsia="微软雅黑"/>
        </w:rPr>
        <w:t>结果</w:t>
      </w:r>
      <w:r>
        <w:rPr>
          <w:rFonts w:hint="eastAsia" w:ascii="微软雅黑" w:hAnsi="微软雅黑" w:eastAsia="微软雅黑"/>
          <w:lang w:eastAsia="zh-CN"/>
        </w:rPr>
        <w:t>（</w:t>
      </w:r>
      <w:r>
        <w:rPr>
          <w:rFonts w:hint="eastAsia" w:ascii="微软雅黑" w:hAnsi="微软雅黑" w:eastAsia="微软雅黑"/>
          <w:lang w:val="en-US" w:eastAsia="zh-CN"/>
        </w:rPr>
        <w:t>拟录取的考生可以下载报到通知、协议书（仅博士））</w:t>
      </w:r>
      <w:r>
        <w:rPr>
          <w:rFonts w:hint="eastAsia" w:ascii="微软雅黑" w:hAnsi="微软雅黑" w:eastAsia="微软雅黑"/>
        </w:rPr>
        <w:t>，如图5-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。</w:t>
      </w:r>
    </w:p>
    <w:p>
      <w:pPr>
        <w:ind w:firstLine="420"/>
        <w:jc w:val="center"/>
      </w:pPr>
      <w:r>
        <w:drawing>
          <wp:inline distT="0" distB="0" distL="114300" distR="114300">
            <wp:extent cx="5638800" cy="2781300"/>
            <wp:effectExtent l="0" t="0" r="0" b="0"/>
            <wp:docPr id="4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微软雅黑" w:hAnsi="微软雅黑" w:eastAsia="微软雅黑"/>
        </w:rPr>
        <w:t>图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-</w:t>
      </w:r>
      <w:r>
        <w:rPr>
          <w:rFonts w:ascii="微软雅黑" w:hAnsi="微软雅黑" w:eastAsia="微软雅黑"/>
        </w:rPr>
        <w:t>1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A47D0E"/>
    <w:multiLevelType w:val="multilevel"/>
    <w:tmpl w:val="0DA47D0E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kM2Q4OGZkZmZjNTc4MDE3NTMxOTBkZDViMjA2NmEifQ=="/>
  </w:docVars>
  <w:rsids>
    <w:rsidRoot w:val="5F132A4D"/>
    <w:rsid w:val="202A2FC3"/>
    <w:rsid w:val="530B283D"/>
    <w:rsid w:val="5F132A4D"/>
    <w:rsid w:val="6CF5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semiHidden/>
    <w:unhideWhenUsed/>
    <w:qFormat/>
    <w:uiPriority w:val="99"/>
    <w:pPr>
      <w:jc w:val="left"/>
    </w:pPr>
  </w:style>
  <w:style w:type="character" w:styleId="6">
    <w:name w:val="Hyperlink"/>
    <w:basedOn w:val="5"/>
    <w:autoRedefine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2024-04-17T08:44:00Z</dcterms:created>
  <dc:creator>冉垚垚</dc:creator>
  <cp:lastModifiedBy>冉垚垚</cp:lastModifiedBy>
  <dcterms:modified xsi:type="dcterms:W3CDTF">2024-04-22T00:13:20Z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66513B8BA49D4D2CAC3329C78FF020FA_11</vt:lpwstr>
  </property>
</Properties>
</file>