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3C" w:rsidRPr="00E73C3C" w:rsidRDefault="00E73C3C" w:rsidP="00E73C3C">
      <w:pPr>
        <w:tabs>
          <w:tab w:val="left" w:pos="1080"/>
        </w:tabs>
        <w:spacing w:line="360" w:lineRule="auto"/>
        <w:ind w:left="960"/>
        <w:jc w:val="center"/>
        <w:rPr>
          <w:rFonts w:ascii="黑体" w:eastAsia="黑体" w:hAnsi="黑体"/>
          <w:b/>
          <w:sz w:val="28"/>
          <w:szCs w:val="28"/>
        </w:rPr>
      </w:pPr>
      <w:r w:rsidRPr="00E73C3C">
        <w:rPr>
          <w:rFonts w:ascii="黑体" w:eastAsia="黑体" w:hAnsi="黑体" w:hint="eastAsia"/>
          <w:b/>
          <w:sz w:val="28"/>
          <w:szCs w:val="28"/>
        </w:rPr>
        <w:t>上海交通大学网络教育学院医学院分院</w:t>
      </w:r>
    </w:p>
    <w:p w:rsidR="00E73C3C" w:rsidRPr="00E73C3C" w:rsidRDefault="00E73C3C" w:rsidP="00E73C3C">
      <w:pPr>
        <w:tabs>
          <w:tab w:val="left" w:pos="1080"/>
        </w:tabs>
        <w:spacing w:line="360" w:lineRule="auto"/>
        <w:ind w:left="960"/>
        <w:jc w:val="center"/>
        <w:rPr>
          <w:rFonts w:ascii="黑体" w:eastAsia="黑体" w:hAnsi="黑体"/>
          <w:b/>
          <w:sz w:val="28"/>
          <w:szCs w:val="28"/>
        </w:rPr>
      </w:pPr>
      <w:r w:rsidRPr="00E73C3C">
        <w:rPr>
          <w:rFonts w:ascii="黑体" w:eastAsia="黑体" w:hAnsi="黑体" w:hint="eastAsia"/>
          <w:b/>
          <w:sz w:val="28"/>
          <w:szCs w:val="28"/>
        </w:rPr>
        <w:t>毕业操作技能</w:t>
      </w:r>
      <w:proofErr w:type="gramStart"/>
      <w:r w:rsidRPr="00E73C3C">
        <w:rPr>
          <w:rFonts w:ascii="黑体" w:eastAsia="黑体" w:hAnsi="黑体" w:hint="eastAsia"/>
          <w:b/>
          <w:sz w:val="28"/>
          <w:szCs w:val="28"/>
        </w:rPr>
        <w:t>考</w:t>
      </w:r>
      <w:r w:rsidR="008F6410">
        <w:rPr>
          <w:rFonts w:ascii="黑体" w:eastAsia="黑体" w:hAnsi="黑体" w:hint="eastAsia"/>
          <w:b/>
          <w:sz w:val="28"/>
          <w:szCs w:val="28"/>
        </w:rPr>
        <w:t>项目</w:t>
      </w:r>
      <w:proofErr w:type="gramEnd"/>
      <w:r w:rsidRPr="00E73C3C">
        <w:rPr>
          <w:rFonts w:ascii="黑体" w:eastAsia="黑体" w:hAnsi="黑体" w:hint="eastAsia"/>
          <w:b/>
          <w:sz w:val="28"/>
          <w:szCs w:val="28"/>
        </w:rPr>
        <w:t>安排规定</w:t>
      </w:r>
    </w:p>
    <w:p w:rsidR="00E73C3C" w:rsidRPr="00C70B19" w:rsidRDefault="00E73C3C" w:rsidP="00E73C3C">
      <w:pPr>
        <w:tabs>
          <w:tab w:val="left" w:pos="108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1、考试项目数量安排</w:t>
      </w:r>
    </w:p>
    <w:p w:rsidR="00E73C3C" w:rsidRDefault="00E73C3C" w:rsidP="00E73C3C">
      <w:pPr>
        <w:tabs>
          <w:tab w:val="left" w:pos="10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操作技能</w:t>
      </w:r>
      <w:proofErr w:type="gramStart"/>
      <w:r>
        <w:rPr>
          <w:rFonts w:ascii="宋体" w:hAnsi="宋体" w:hint="eastAsia"/>
          <w:sz w:val="24"/>
        </w:rPr>
        <w:t>考项目</w:t>
      </w:r>
      <w:proofErr w:type="gramEnd"/>
      <w:r>
        <w:rPr>
          <w:rFonts w:ascii="宋体" w:hAnsi="宋体" w:hint="eastAsia"/>
          <w:sz w:val="24"/>
        </w:rPr>
        <w:t>安排数量根据学习中心各专业参加考试的人数来确定，规则如下：</w:t>
      </w:r>
    </w:p>
    <w:p w:rsidR="00E73C3C" w:rsidRDefault="00E73C3C" w:rsidP="00E73C3C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20人及以下必须安排两个项目。</w:t>
      </w:r>
    </w:p>
    <w:p w:rsidR="00E73C3C" w:rsidRDefault="00E73C3C" w:rsidP="00E73C3C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20人以上必须安排大于两个项目，以每增加20人多安排一项为原则，人数过多的学习中心可根据实际情况安排，亦可最多只安排4项。</w:t>
      </w:r>
    </w:p>
    <w:p w:rsidR="00E73C3C" w:rsidRDefault="00E73C3C" w:rsidP="00E73C3C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学生考试项目为其中一项，由考前抽签决定。每个项目考生数量必须保持基本一致，不得随意加大简单考试项目考生数量。</w:t>
      </w:r>
    </w:p>
    <w:p w:rsidR="00E73C3C" w:rsidRPr="00BE1338" w:rsidRDefault="00E73C3C" w:rsidP="00E73C3C">
      <w:pPr>
        <w:spacing w:line="360" w:lineRule="auto"/>
        <w:rPr>
          <w:rFonts w:ascii="宋体" w:hAnsi="宋体"/>
          <w:b/>
          <w:sz w:val="24"/>
        </w:rPr>
      </w:pPr>
      <w:r w:rsidRPr="00BE1338">
        <w:rPr>
          <w:rFonts w:ascii="宋体" w:hAnsi="宋体" w:hint="eastAsia"/>
          <w:b/>
          <w:sz w:val="24"/>
        </w:rPr>
        <w:t>2、考试项目内容安排</w:t>
      </w:r>
    </w:p>
    <w:p w:rsidR="00E73C3C" w:rsidRDefault="00E73C3C" w:rsidP="00E73C3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99"/>
        <w:gridCol w:w="709"/>
        <w:gridCol w:w="3739"/>
      </w:tblGrid>
      <w:tr w:rsidR="00E73C3C" w:rsidRPr="00392C1F" w:rsidTr="00D8757D">
        <w:tc>
          <w:tcPr>
            <w:tcW w:w="675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专业层次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项目内容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专业层次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项目内容</w:t>
            </w:r>
          </w:p>
        </w:tc>
      </w:tr>
      <w:tr w:rsidR="00E73C3C" w:rsidRPr="00392C1F" w:rsidTr="00D8757D">
        <w:tc>
          <w:tcPr>
            <w:tcW w:w="675" w:type="dxa"/>
            <w:vMerge w:val="restart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护</w:t>
            </w:r>
          </w:p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理</w:t>
            </w:r>
          </w:p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专</w:t>
            </w:r>
          </w:p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静脉注射  ★</w:t>
            </w:r>
            <w:r w:rsidRPr="002923B1">
              <w:rPr>
                <w:rFonts w:ascii="宋体" w:hAnsi="宋体" w:hint="eastAsia"/>
                <w:color w:val="FF0000"/>
                <w:szCs w:val="21"/>
              </w:rPr>
              <w:t>（必安排）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护</w:t>
            </w:r>
          </w:p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理</w:t>
            </w:r>
          </w:p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本</w:t>
            </w:r>
          </w:p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简易呼吸气囊  ★</w:t>
            </w:r>
            <w:r w:rsidRPr="002923B1">
              <w:rPr>
                <w:rFonts w:ascii="宋体" w:hAnsi="宋体" w:hint="eastAsia"/>
                <w:color w:val="FF0000"/>
                <w:szCs w:val="21"/>
              </w:rPr>
              <w:t>（必安排）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无菌技术  ★</w:t>
            </w:r>
            <w:r w:rsidRPr="002923B1">
              <w:rPr>
                <w:rFonts w:ascii="宋体" w:hAnsi="宋体" w:hint="eastAsia"/>
                <w:color w:val="FF0000"/>
                <w:szCs w:val="21"/>
              </w:rPr>
              <w:t>（必安排）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心肺复苏      ★</w:t>
            </w:r>
            <w:r w:rsidRPr="002923B1">
              <w:rPr>
                <w:rFonts w:ascii="宋体" w:hAnsi="宋体" w:hint="eastAsia"/>
                <w:color w:val="FF0000"/>
                <w:szCs w:val="21"/>
              </w:rPr>
              <w:t>（必安排）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女病人导尿术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换药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口腔护理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吸痰法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吸氧（墙式和氧气瓶）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洗胃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洗手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心电图</w:t>
            </w:r>
          </w:p>
        </w:tc>
      </w:tr>
      <w:tr w:rsidR="00E73C3C" w:rsidRPr="00392C1F" w:rsidTr="00D8757D">
        <w:tc>
          <w:tcPr>
            <w:tcW w:w="675" w:type="dxa"/>
            <w:vMerge w:val="restart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检验专科</w:t>
            </w: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hint="eastAsia"/>
                <w:szCs w:val="21"/>
              </w:rPr>
              <w:t>尿液沉渣显微镜检查形态学观察（</w:t>
            </w:r>
            <w:r w:rsidRPr="00392C1F">
              <w:rPr>
                <w:rFonts w:hint="eastAsia"/>
                <w:szCs w:val="21"/>
              </w:rPr>
              <w:t>20</w:t>
            </w:r>
            <w:r w:rsidRPr="00392C1F">
              <w:rPr>
                <w:rFonts w:hint="eastAsia"/>
                <w:szCs w:val="21"/>
              </w:rPr>
              <w:t>个镜下有形成分判断）</w:t>
            </w:r>
            <w:r w:rsidRPr="00392C1F">
              <w:rPr>
                <w:rFonts w:hint="eastAsia"/>
                <w:szCs w:val="21"/>
              </w:rPr>
              <w:t xml:space="preserve"> </w:t>
            </w:r>
            <w:r w:rsidRPr="00392C1F">
              <w:rPr>
                <w:rFonts w:ascii="宋体" w:hAnsi="宋体" w:hint="eastAsia"/>
                <w:szCs w:val="21"/>
              </w:rPr>
              <w:t>★</w:t>
            </w:r>
            <w:r w:rsidRPr="002923B1">
              <w:rPr>
                <w:rFonts w:ascii="宋体" w:hAnsi="宋体" w:hint="eastAsia"/>
                <w:color w:val="FF0000"/>
                <w:szCs w:val="21"/>
              </w:rPr>
              <w:t>（必安排）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hint="eastAsia"/>
                <w:szCs w:val="21"/>
              </w:rPr>
              <w:t>血细胞手工显微镜计数（红细胞计数）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hint="eastAsia"/>
                <w:szCs w:val="21"/>
              </w:rPr>
              <w:t>血涂片形态学检查（</w:t>
            </w:r>
            <w:r w:rsidRPr="00392C1F">
              <w:rPr>
                <w:rFonts w:hint="eastAsia"/>
                <w:szCs w:val="21"/>
              </w:rPr>
              <w:t>20</w:t>
            </w:r>
            <w:r w:rsidRPr="00392C1F">
              <w:rPr>
                <w:rFonts w:hint="eastAsia"/>
                <w:szCs w:val="21"/>
              </w:rPr>
              <w:t>个镜下有形成分判断）</w:t>
            </w:r>
          </w:p>
        </w:tc>
      </w:tr>
      <w:tr w:rsidR="00E73C3C" w:rsidRPr="00392C1F" w:rsidTr="00D8757D">
        <w:tc>
          <w:tcPr>
            <w:tcW w:w="675" w:type="dxa"/>
            <w:vMerge w:val="restart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392C1F">
              <w:rPr>
                <w:rFonts w:ascii="宋体" w:hAnsi="宋体" w:hint="eastAsia"/>
                <w:b/>
                <w:szCs w:val="21"/>
              </w:rPr>
              <w:t>检验本科</w:t>
            </w: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szCs w:val="21"/>
              </w:rPr>
            </w:pPr>
            <w:r w:rsidRPr="00392C1F">
              <w:rPr>
                <w:rFonts w:hint="eastAsia"/>
                <w:szCs w:val="21"/>
              </w:rPr>
              <w:t>在</w:t>
            </w:r>
            <w:r w:rsidRPr="00392C1F">
              <w:rPr>
                <w:rFonts w:hint="eastAsia"/>
                <w:szCs w:val="21"/>
              </w:rPr>
              <w:t>SS</w:t>
            </w:r>
            <w:r w:rsidRPr="00392C1F">
              <w:rPr>
                <w:rFonts w:hint="eastAsia"/>
                <w:szCs w:val="21"/>
              </w:rPr>
              <w:t>平板上挑取可疑的肠道致病菌并接种于</w:t>
            </w:r>
            <w:r w:rsidRPr="00392C1F">
              <w:rPr>
                <w:rFonts w:hint="eastAsia"/>
                <w:szCs w:val="21"/>
              </w:rPr>
              <w:t>KIA</w:t>
            </w:r>
            <w:r w:rsidRPr="00392C1F">
              <w:rPr>
                <w:rFonts w:hint="eastAsia"/>
                <w:szCs w:val="21"/>
              </w:rPr>
              <w:t>斜面及</w:t>
            </w:r>
            <w:r w:rsidRPr="00392C1F">
              <w:rPr>
                <w:rFonts w:hint="eastAsia"/>
                <w:szCs w:val="21"/>
              </w:rPr>
              <w:t>MIU</w:t>
            </w:r>
            <w:r w:rsidRPr="00392C1F">
              <w:rPr>
                <w:rFonts w:hint="eastAsia"/>
                <w:szCs w:val="21"/>
              </w:rPr>
              <w:t>半固体。</w:t>
            </w:r>
            <w:r w:rsidRPr="00392C1F">
              <w:rPr>
                <w:rFonts w:ascii="宋体" w:hAnsi="宋体" w:hint="eastAsia"/>
                <w:szCs w:val="21"/>
              </w:rPr>
              <w:t>★</w:t>
            </w:r>
            <w:bookmarkStart w:id="0" w:name="_GoBack"/>
            <w:r w:rsidRPr="002923B1">
              <w:rPr>
                <w:rFonts w:ascii="宋体" w:hAnsi="宋体" w:hint="eastAsia"/>
                <w:color w:val="FF0000"/>
                <w:szCs w:val="21"/>
              </w:rPr>
              <w:t>（必安排）</w:t>
            </w:r>
            <w:bookmarkEnd w:id="0"/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ascii="宋体" w:hAnsi="宋体" w:hint="eastAsia"/>
                <w:szCs w:val="21"/>
              </w:rPr>
              <w:t>抗酸染色的操作及抗酸杆菌的镜下形态观察。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hint="eastAsia"/>
                <w:szCs w:val="21"/>
              </w:rPr>
              <w:t>血涂片白细胞分类计数（分</w:t>
            </w:r>
            <w:r w:rsidRPr="00392C1F">
              <w:rPr>
                <w:rFonts w:hint="eastAsia"/>
                <w:szCs w:val="21"/>
              </w:rPr>
              <w:t>200</w:t>
            </w:r>
            <w:r w:rsidRPr="00392C1F">
              <w:rPr>
                <w:rFonts w:hint="eastAsia"/>
                <w:szCs w:val="21"/>
              </w:rPr>
              <w:t>个细胞）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b/>
                <w:szCs w:val="21"/>
              </w:rPr>
            </w:pPr>
            <w:r w:rsidRPr="00392C1F">
              <w:rPr>
                <w:rFonts w:hint="eastAsia"/>
                <w:szCs w:val="21"/>
              </w:rPr>
              <w:t>尿液沉渣显微镜检查形态学观察（</w:t>
            </w:r>
            <w:r w:rsidRPr="00392C1F">
              <w:rPr>
                <w:rFonts w:hint="eastAsia"/>
                <w:szCs w:val="21"/>
              </w:rPr>
              <w:t>20</w:t>
            </w:r>
            <w:r w:rsidRPr="00392C1F">
              <w:rPr>
                <w:rFonts w:hint="eastAsia"/>
                <w:szCs w:val="21"/>
              </w:rPr>
              <w:t>个镜下有形成分判断）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b/>
                <w:szCs w:val="21"/>
              </w:rPr>
            </w:pPr>
            <w:r w:rsidRPr="00392C1F">
              <w:rPr>
                <w:rFonts w:hint="eastAsia"/>
                <w:szCs w:val="21"/>
              </w:rPr>
              <w:t>血细胞手工显微镜计数（红细胞计数）</w:t>
            </w:r>
          </w:p>
        </w:tc>
      </w:tr>
      <w:tr w:rsidR="00E73C3C" w:rsidRPr="00392C1F" w:rsidTr="00D8757D">
        <w:tc>
          <w:tcPr>
            <w:tcW w:w="675" w:type="dxa"/>
            <w:vMerge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853" w:type="dxa"/>
            <w:gridSpan w:val="3"/>
            <w:shd w:val="clear" w:color="auto" w:fill="auto"/>
            <w:vAlign w:val="center"/>
          </w:tcPr>
          <w:p w:rsidR="00E73C3C" w:rsidRPr="00392C1F" w:rsidRDefault="00E73C3C" w:rsidP="00D8757D">
            <w:pPr>
              <w:spacing w:line="360" w:lineRule="auto"/>
              <w:rPr>
                <w:rFonts w:ascii="宋体" w:hAnsi="宋体"/>
                <w:szCs w:val="21"/>
              </w:rPr>
            </w:pPr>
            <w:r w:rsidRPr="00392C1F">
              <w:rPr>
                <w:rFonts w:hint="eastAsia"/>
                <w:szCs w:val="21"/>
              </w:rPr>
              <w:t>血涂片形态学检查（</w:t>
            </w:r>
            <w:r w:rsidRPr="00392C1F">
              <w:rPr>
                <w:rFonts w:hint="eastAsia"/>
                <w:szCs w:val="21"/>
              </w:rPr>
              <w:t>20</w:t>
            </w:r>
            <w:r w:rsidRPr="00392C1F">
              <w:rPr>
                <w:rFonts w:hint="eastAsia"/>
                <w:szCs w:val="21"/>
              </w:rPr>
              <w:t>个镜下有形成分判断）</w:t>
            </w:r>
          </w:p>
        </w:tc>
      </w:tr>
    </w:tbl>
    <w:p w:rsidR="00E73C3C" w:rsidRDefault="00E73C3C" w:rsidP="00E73C3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73C3C" w:rsidRDefault="00E73C3C" w:rsidP="00E73C3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以上项目操作流程及评分标准请参看网上学习中心管理系统--“常用资料下载”栏目，可由评分专家根据当地实际操作流程做科学合理的调整。可发放给学生复习参考。</w:t>
      </w:r>
    </w:p>
    <w:p w:rsidR="00E73C3C" w:rsidRDefault="00E73C3C" w:rsidP="00E73C3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以上加“</w:t>
      </w:r>
      <w:r w:rsidRPr="001219BE">
        <w:rPr>
          <w:rFonts w:ascii="宋体" w:hAnsi="宋体" w:hint="eastAsia"/>
          <w:szCs w:val="21"/>
        </w:rPr>
        <w:t>★</w:t>
      </w:r>
      <w:r>
        <w:rPr>
          <w:rFonts w:ascii="宋体" w:hAnsi="宋体" w:hint="eastAsia"/>
          <w:szCs w:val="21"/>
        </w:rPr>
        <w:t>”</w:t>
      </w:r>
      <w:r w:rsidRPr="00C122C3">
        <w:rPr>
          <w:rFonts w:ascii="宋体" w:hAnsi="宋体" w:hint="eastAsia"/>
          <w:sz w:val="24"/>
        </w:rPr>
        <w:t>项目学习中心必须安排</w:t>
      </w:r>
      <w:r>
        <w:rPr>
          <w:rFonts w:ascii="宋体" w:hAnsi="宋体" w:hint="eastAsia"/>
          <w:sz w:val="24"/>
        </w:rPr>
        <w:t>，其他项目若无条件安排者可根据实际情况做小调整，但必须提前将新增或修改项目操作流程与评分标准上报学院批准。</w:t>
      </w:r>
    </w:p>
    <w:p w:rsidR="007A4159" w:rsidRPr="00E73C3C" w:rsidRDefault="001F2EE8"/>
    <w:sectPr w:rsidR="007A4159" w:rsidRPr="00E7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E8" w:rsidRDefault="001F2EE8" w:rsidP="002923B1">
      <w:r>
        <w:separator/>
      </w:r>
    </w:p>
  </w:endnote>
  <w:endnote w:type="continuationSeparator" w:id="0">
    <w:p w:rsidR="001F2EE8" w:rsidRDefault="001F2EE8" w:rsidP="0029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E8" w:rsidRDefault="001F2EE8" w:rsidP="002923B1">
      <w:r>
        <w:separator/>
      </w:r>
    </w:p>
  </w:footnote>
  <w:footnote w:type="continuationSeparator" w:id="0">
    <w:p w:rsidR="001F2EE8" w:rsidRDefault="001F2EE8" w:rsidP="0029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06DB"/>
    <w:multiLevelType w:val="hybridMultilevel"/>
    <w:tmpl w:val="24AC26E8"/>
    <w:lvl w:ilvl="0" w:tplc="EF681CD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08B6063"/>
    <w:multiLevelType w:val="hybridMultilevel"/>
    <w:tmpl w:val="1A2A041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4187134"/>
    <w:multiLevelType w:val="hybridMultilevel"/>
    <w:tmpl w:val="373C5C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3C"/>
    <w:rsid w:val="001F2EE8"/>
    <w:rsid w:val="002923B1"/>
    <w:rsid w:val="002C76D0"/>
    <w:rsid w:val="008542C4"/>
    <w:rsid w:val="008F6410"/>
    <w:rsid w:val="00CA0513"/>
    <w:rsid w:val="00CE5567"/>
    <w:rsid w:val="00D6501F"/>
    <w:rsid w:val="00D9088B"/>
    <w:rsid w:val="00E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73F82-077B-4224-8A1C-8E7A549D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C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05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A0513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a4"/>
    <w:qFormat/>
    <w:rsid w:val="00CA0513"/>
    <w:pPr>
      <w:spacing w:before="240" w:after="60" w:line="312" w:lineRule="auto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CA0513"/>
    <w:rPr>
      <w:rFonts w:ascii="Cambria" w:hAnsi="Cambria" w:cstheme="majorBidi"/>
      <w:b/>
      <w:bCs/>
      <w:kern w:val="28"/>
      <w:sz w:val="32"/>
      <w:szCs w:val="32"/>
    </w:rPr>
  </w:style>
  <w:style w:type="character" w:styleId="a5">
    <w:name w:val="Strong"/>
    <w:qFormat/>
    <w:rsid w:val="00D6501F"/>
    <w:rPr>
      <w:b/>
      <w:bCs/>
    </w:rPr>
  </w:style>
  <w:style w:type="character" w:styleId="a6">
    <w:name w:val="Emphasis"/>
    <w:basedOn w:val="a0"/>
    <w:qFormat/>
    <w:rsid w:val="00D6501F"/>
    <w:rPr>
      <w:i/>
      <w:iCs/>
    </w:rPr>
  </w:style>
  <w:style w:type="paragraph" w:styleId="a7">
    <w:name w:val="List Paragraph"/>
    <w:basedOn w:val="a"/>
    <w:qFormat/>
    <w:rsid w:val="00CA0513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qFormat/>
    <w:rsid w:val="00CA051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CA051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A0513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CA051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9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923B1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9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923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2016-03-21T06:32:00Z</dcterms:created>
  <dcterms:modified xsi:type="dcterms:W3CDTF">2019-02-25T02:15:00Z</dcterms:modified>
</cp:coreProperties>
</file>